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ED" w:rsidRPr="00462AED" w:rsidRDefault="00462AED" w:rsidP="00462AE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462AED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62AED" w:rsidRPr="00462AED" w:rsidTr="00462AED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№ 109786246</w:t>
            </w: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2AED" w:rsidRPr="00462AED" w:rsidRDefault="00462AED" w:rsidP="00462AED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462AED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4"/>
        <w:gridCol w:w="953"/>
        <w:gridCol w:w="953"/>
        <w:gridCol w:w="1777"/>
        <w:gridCol w:w="1251"/>
        <w:gridCol w:w="658"/>
        <w:gridCol w:w="658"/>
        <w:gridCol w:w="1545"/>
        <w:gridCol w:w="1425"/>
        <w:gridCol w:w="27"/>
      </w:tblGrid>
      <w:tr w:rsidR="00462AED" w:rsidRPr="00462AED" w:rsidTr="00462AE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1049563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11 июля 2025 г. 11:00 МСК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18 июня 2025 г.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Российская Федерация, г. Калининград, Московский проспект, 52, Отель «</w:t>
            </w:r>
            <w:r w:rsidRPr="00462AED">
              <w:rPr>
                <w:rFonts w:ascii="Times New Roman" w:hAnsi="Times New Roman"/>
                <w:sz w:val="20"/>
                <w:szCs w:val="20"/>
              </w:rPr>
              <w:br/>
              <w:t>ibis Калининград Центр»</w:t>
            </w:r>
          </w:p>
        </w:tc>
      </w:tr>
      <w:tr w:rsidR="00462AED" w:rsidRPr="00462AED" w:rsidTr="00462AE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462AED" w:rsidRPr="00462AED" w:rsidTr="00462AE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1049563X58871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ED" w:rsidRPr="00462AED" w:rsidTr="00462AE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AED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08 июля 2025 г. 20:00 МСК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09 июля 2025 г. 11:00 МСК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462AED">
              <w:rPr>
                <w:rFonts w:ascii="Times New Roman" w:hAnsi="Times New Roman"/>
                <w:sz w:val="20"/>
                <w:szCs w:val="20"/>
              </w:rPr>
              <w:br/>
              <w:t>АО "МРЦ" Российская Федерация, 105062, г. Москва, Подсосенский переуло</w:t>
            </w:r>
            <w:r w:rsidRPr="00462AED">
              <w:rPr>
                <w:rFonts w:ascii="Times New Roman" w:hAnsi="Times New Roman"/>
                <w:sz w:val="20"/>
                <w:szCs w:val="20"/>
              </w:rPr>
              <w:br/>
              <w:t>к, дом 26, стр. 2.</w:t>
            </w:r>
          </w:p>
        </w:tc>
      </w:tr>
      <w:tr w:rsidR="00462AED" w:rsidRPr="00462AED" w:rsidTr="00462A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2AED" w:rsidRPr="00462AED" w:rsidRDefault="00462AED" w:rsidP="00462A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AED">
              <w:rPr>
                <w:rFonts w:ascii="Times New Roman" w:hAnsi="Times New Roman"/>
                <w:sz w:val="20"/>
                <w:szCs w:val="20"/>
              </w:rPr>
              <w:t>https://online.e-vote.ru</w:t>
            </w:r>
          </w:p>
        </w:tc>
      </w:tr>
    </w:tbl>
    <w:p w:rsidR="00462AED" w:rsidRPr="00462AED" w:rsidRDefault="00462AED" w:rsidP="00462AED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62AED" w:rsidRPr="00462AED" w:rsidRDefault="00462AED" w:rsidP="00462AE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462AED">
        <w:rPr>
          <w:rFonts w:ascii="Times New Roman" w:hAnsi="Times New Roman"/>
          <w:b/>
          <w:sz w:val="20"/>
          <w:szCs w:val="20"/>
        </w:rPr>
        <w:t>Повестка</w:t>
      </w:r>
      <w:r w:rsidRPr="00462AED">
        <w:rPr>
          <w:rFonts w:ascii="Times New Roman" w:hAnsi="Times New Roman"/>
          <w:sz w:val="20"/>
          <w:szCs w:val="20"/>
        </w:rPr>
        <w:t xml:space="preserve">1.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Документов, представляющих собой или подтверждающих инструкции, рекомендации, руководства, указания, предложения, побуждения со стороны ЭН+ в адрес членов Совета директоров РУСАЛа в связи с принятием решений о дивидендах с 2017 по 2024 год. 2.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переписки внутри и между ЭН+ и РУСАЛ с 2019 по 2024 год по вопросу влияния ограничений, установленных в Условиях об исключении, на распределение дивидендов г-ну Олегу Дерипаске. 3.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Комитета по назначениям ЭН+ с 2018 по 2024 год. 4.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процесса проверки в отношении каждого кандидата в члены Совет директоров РУСАЛа с 2018 по 2024 год. 5.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поиска и отбора кандидатов на позиции директоров РУСАЛа независимой компанией по подбору руководящего персонала с 2018 по 2024 год. 6.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выбора независимой компании по подбору руководящего персонала и взаимодействия с ней с 2018 по 2024 год. 7. Предоставление акционеру Общества, владеющему более 20% акций Общества и обратившемуся в разумный срок с соответствующим </w:t>
      </w:r>
      <w:r w:rsidRPr="00462AED">
        <w:rPr>
          <w:rFonts w:ascii="Times New Roman" w:hAnsi="Times New Roman"/>
          <w:sz w:val="20"/>
          <w:szCs w:val="20"/>
        </w:rPr>
        <w:lastRenderedPageBreak/>
        <w:t xml:space="preserve">требованием в Общество, копий всех Документов, касающихся обсуждения дивидендной политики РУСАЛа в то или иное время, включая условия, толкование, применение и обсуждение дивидендной политики и любых изменений к ней, включая документы в связи со встречей 15 июля 2015 года. 8.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соглашений, стороной которых является РУСАЛ, которые содержат положения, ограничивающие выплату дивидендов РУСАЛом в 2017-2024 годах, и всю переписку с выгодоприобретателями таких положений в связи с обращениями РУСАЛа за отказом, согласованием или освобождением от этих положений. 9.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Документов, отражающих фактические выборку и погашение РУСАЛом кредитов и займов за каждый отчетный период с 2015 по 2024 год, с разбивкой по каждому займу. 10. Предоставление акционеру Общества, владеющему более 20% акций Общества и обратившемуся в разумный срок с соответствующим требованием в Общество, копии Соглашения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с учетом внесенных в него изменений и актуальной редакции 11. Предоставление акционеру Общества, владеющему более 20% акций Общества и обратившемуся в разумный срок с соответствующим требованием в Общество, копии Дополнительного соглашения № 15 к Соглашению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от 10 декабря 2012 года с учетом внесенных в него изменений и актуальной редакции 12.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переписки между г-ном Николасом Джорданом, ЭН+ и РУСАЛом, касающейся отставки г-на Николаса Джордана из Совета директоров Русала.. </w:t>
      </w:r>
    </w:p>
    <w:p w:rsidR="00462AED" w:rsidRDefault="00462AED" w:rsidP="00462AED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62AED" w:rsidRDefault="00462AED" w:rsidP="00462AE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462AED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462AED" w:rsidRDefault="00462AED" w:rsidP="00462AED"/>
    <w:p w:rsidR="00462AED" w:rsidRPr="003A606B" w:rsidRDefault="00462AED" w:rsidP="00462A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D9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62AED" w:rsidRPr="007153C3" w:rsidRDefault="00462AED" w:rsidP="00462A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AED" w:rsidRPr="00462AED" w:rsidRDefault="00462AED" w:rsidP="00462AED"/>
    <w:sectPr w:rsidR="00462AED" w:rsidRPr="00462AED" w:rsidSect="00462AE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2A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2AED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6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A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2A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2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2AED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462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462AED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462A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2025-06-10T12:22:00Z</dcterms:created>
  <dcterms:modified xsi:type="dcterms:W3CDTF">2025-06-10T12:27:00Z</dcterms:modified>
</cp:coreProperties>
</file>