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7C9" w:rsidRPr="002F37C9" w:rsidRDefault="002F37C9" w:rsidP="002F37C9">
      <w:pPr>
        <w:spacing w:before="100" w:beforeAutospacing="1" w:after="100" w:afterAutospacing="1"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 xml:space="preserve"> Сообщение об итогах собрания</w:t>
      </w:r>
    </w:p>
    <w:tbl>
      <w:tblPr>
        <w:tblW w:w="5000" w:type="pct"/>
        <w:tblCellSpacing w:w="7" w:type="dxa"/>
        <w:tblCellMar>
          <w:left w:w="0" w:type="dxa"/>
          <w:right w:w="0" w:type="dxa"/>
        </w:tblCellMar>
        <w:tblLook w:val="04A0"/>
      </w:tblPr>
      <w:tblGrid>
        <w:gridCol w:w="5698"/>
        <w:gridCol w:w="5066"/>
        <w:gridCol w:w="37"/>
      </w:tblGrid>
      <w:tr w:rsidR="002F37C9" w:rsidRPr="002F37C9" w:rsidTr="002F37C9">
        <w:trPr>
          <w:tblCellSpacing w:w="7" w:type="dxa"/>
        </w:trPr>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Сообщение</w:t>
            </w:r>
          </w:p>
        </w:tc>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 111096020</w:t>
            </w:r>
          </w:p>
        </w:tc>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p>
        </w:tc>
      </w:tr>
      <w:tr w:rsidR="002F37C9" w:rsidRPr="002F37C9" w:rsidTr="002F37C9">
        <w:trPr>
          <w:tblCellSpacing w:w="7" w:type="dxa"/>
        </w:trPr>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Функция сообщения:</w:t>
            </w:r>
          </w:p>
        </w:tc>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Повторное сообщение</w:t>
            </w:r>
          </w:p>
        </w:tc>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p>
        </w:tc>
      </w:tr>
      <w:tr w:rsidR="002F37C9" w:rsidRPr="002F37C9" w:rsidTr="002F37C9">
        <w:trPr>
          <w:tblCellSpacing w:w="7" w:type="dxa"/>
        </w:trPr>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Предыдущее сообщение:</w:t>
            </w:r>
          </w:p>
        </w:tc>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 109760426</w:t>
            </w:r>
          </w:p>
        </w:tc>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p>
        </w:tc>
      </w:tr>
      <w:tr w:rsidR="002F37C9" w:rsidRPr="002F37C9" w:rsidTr="002F37C9">
        <w:trPr>
          <w:tblCellSpacing w:w="7" w:type="dxa"/>
        </w:trPr>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p>
        </w:tc>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p>
        </w:tc>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p>
        </w:tc>
      </w:tr>
      <w:tr w:rsidR="002F37C9" w:rsidRPr="002F37C9" w:rsidTr="002F37C9">
        <w:trPr>
          <w:tblCellSpacing w:w="7" w:type="dxa"/>
        </w:trPr>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p>
        </w:tc>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p>
        </w:tc>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p>
        </w:tc>
      </w:tr>
    </w:tbl>
    <w:p w:rsidR="002F37C9" w:rsidRPr="002F37C9" w:rsidRDefault="002F37C9" w:rsidP="002F37C9">
      <w:pPr>
        <w:spacing w:before="100" w:beforeAutospacing="1" w:after="100" w:afterAutospacing="1" w:line="240" w:lineRule="auto"/>
        <w:outlineLvl w:val="0"/>
        <w:rPr>
          <w:rFonts w:ascii="Times New Roman" w:eastAsia="Times New Roman" w:hAnsi="Times New Roman"/>
          <w:b/>
          <w:bCs/>
          <w:kern w:val="36"/>
          <w:sz w:val="20"/>
          <w:szCs w:val="20"/>
          <w:lang w:eastAsia="ru-RU"/>
        </w:rPr>
      </w:pPr>
      <w:r w:rsidRPr="002F37C9">
        <w:rPr>
          <w:rFonts w:ascii="Times New Roman" w:eastAsia="Times New Roman" w:hAnsi="Times New Roman"/>
          <w:b/>
          <w:bCs/>
          <w:kern w:val="36"/>
          <w:sz w:val="20"/>
          <w:szCs w:val="20"/>
          <w:lang w:eastAsia="ru-RU"/>
        </w:rPr>
        <w:t>(XMET) О прошедшем корпоративном действии "Внеочередное заседание общего собрания акционеров или заочное голосование для принятия решений общим собранием акционеров" с ценными бумагами эмитента ПАО "СИБУР Холдинг" ИНН 7727547261 (акция 1-02-65134-D / ISIN RU000A0JSTX9)</w:t>
      </w:r>
    </w:p>
    <w:tbl>
      <w:tblPr>
        <w:tblW w:w="5000" w:type="pct"/>
        <w:tblCellSpacing w:w="7" w:type="dxa"/>
        <w:tblCellMar>
          <w:left w:w="0" w:type="dxa"/>
          <w:right w:w="0" w:type="dxa"/>
        </w:tblCellMar>
        <w:tblLook w:val="04A0"/>
      </w:tblPr>
      <w:tblGrid>
        <w:gridCol w:w="1625"/>
        <w:gridCol w:w="446"/>
        <w:gridCol w:w="609"/>
        <w:gridCol w:w="609"/>
        <w:gridCol w:w="1662"/>
        <w:gridCol w:w="582"/>
        <w:gridCol w:w="582"/>
        <w:gridCol w:w="1323"/>
        <w:gridCol w:w="1877"/>
        <w:gridCol w:w="464"/>
        <w:gridCol w:w="503"/>
        <w:gridCol w:w="487"/>
        <w:gridCol w:w="32"/>
      </w:tblGrid>
      <w:tr w:rsidR="002F37C9" w:rsidRPr="002F37C9" w:rsidTr="002F37C9">
        <w:trPr>
          <w:tblHeader/>
          <w:tblCellSpacing w:w="7" w:type="dxa"/>
        </w:trPr>
        <w:tc>
          <w:tcPr>
            <w:tcW w:w="0" w:type="auto"/>
            <w:gridSpan w:val="13"/>
            <w:shd w:val="clear" w:color="auto" w:fill="BBBBBB"/>
            <w:vAlign w:val="center"/>
            <w:hideMark/>
          </w:tcPr>
          <w:p w:rsidR="002F37C9" w:rsidRPr="002F37C9" w:rsidRDefault="002F37C9" w:rsidP="002F37C9">
            <w:pPr>
              <w:spacing w:after="0" w:line="240" w:lineRule="auto"/>
              <w:jc w:val="center"/>
              <w:rPr>
                <w:rFonts w:ascii="Times New Roman" w:eastAsia="Times New Roman" w:hAnsi="Times New Roman"/>
                <w:b/>
                <w:bCs/>
                <w:sz w:val="20"/>
                <w:szCs w:val="20"/>
                <w:lang w:eastAsia="ru-RU"/>
              </w:rPr>
            </w:pPr>
            <w:r w:rsidRPr="002F37C9">
              <w:rPr>
                <w:rFonts w:ascii="Times New Roman" w:eastAsia="Times New Roman" w:hAnsi="Times New Roman"/>
                <w:b/>
                <w:bCs/>
                <w:sz w:val="20"/>
                <w:szCs w:val="20"/>
                <w:lang w:eastAsia="ru-RU"/>
              </w:rPr>
              <w:t>Реквизиты корпоративного действия</w:t>
            </w:r>
          </w:p>
        </w:tc>
      </w:tr>
      <w:tr w:rsidR="002F37C9" w:rsidRPr="002F37C9" w:rsidTr="002F37C9">
        <w:trPr>
          <w:tblCellSpacing w:w="7" w:type="dxa"/>
        </w:trPr>
        <w:tc>
          <w:tcPr>
            <w:tcW w:w="0" w:type="auto"/>
            <w:gridSpan w:val="3"/>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Референс корпоративного действия</w:t>
            </w:r>
          </w:p>
        </w:tc>
        <w:tc>
          <w:tcPr>
            <w:tcW w:w="0" w:type="auto"/>
            <w:gridSpan w:val="10"/>
            <w:shd w:val="clear" w:color="auto" w:fill="EEEEEE"/>
            <w:vAlign w:val="center"/>
            <w:hideMark/>
          </w:tcPr>
          <w:p w:rsidR="002F37C9" w:rsidRPr="002F37C9" w:rsidRDefault="002F37C9" w:rsidP="002F37C9">
            <w:pPr>
              <w:wordWrap w:val="0"/>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1045600</w:t>
            </w:r>
          </w:p>
        </w:tc>
      </w:tr>
      <w:tr w:rsidR="002F37C9" w:rsidRPr="002F37C9" w:rsidTr="002F37C9">
        <w:trPr>
          <w:tblCellSpacing w:w="7" w:type="dxa"/>
        </w:trPr>
        <w:tc>
          <w:tcPr>
            <w:tcW w:w="0" w:type="auto"/>
            <w:gridSpan w:val="3"/>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Код типа корпоративного действия</w:t>
            </w:r>
          </w:p>
        </w:tc>
        <w:tc>
          <w:tcPr>
            <w:tcW w:w="0" w:type="auto"/>
            <w:gridSpan w:val="10"/>
            <w:shd w:val="clear" w:color="auto" w:fill="EEEEEE"/>
            <w:vAlign w:val="center"/>
            <w:hideMark/>
          </w:tcPr>
          <w:p w:rsidR="002F37C9" w:rsidRPr="002F37C9" w:rsidRDefault="002F37C9" w:rsidP="002F37C9">
            <w:pPr>
              <w:wordWrap w:val="0"/>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XMET</w:t>
            </w:r>
          </w:p>
        </w:tc>
      </w:tr>
      <w:tr w:rsidR="002F37C9" w:rsidRPr="002F37C9" w:rsidTr="002F37C9">
        <w:trPr>
          <w:tblCellSpacing w:w="7" w:type="dxa"/>
        </w:trPr>
        <w:tc>
          <w:tcPr>
            <w:tcW w:w="0" w:type="auto"/>
            <w:gridSpan w:val="3"/>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Тип корпоративного действия</w:t>
            </w:r>
          </w:p>
        </w:tc>
        <w:tc>
          <w:tcPr>
            <w:tcW w:w="0" w:type="auto"/>
            <w:gridSpan w:val="10"/>
            <w:shd w:val="clear" w:color="auto" w:fill="EEEEEE"/>
            <w:vAlign w:val="center"/>
            <w:hideMark/>
          </w:tcPr>
          <w:p w:rsidR="002F37C9" w:rsidRPr="002F37C9" w:rsidRDefault="002F37C9" w:rsidP="002F37C9">
            <w:pPr>
              <w:wordWrap w:val="0"/>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Внеочередное заседание общего собрания акционеров или заочное голосование для принятия решений общим собранием акционеров</w:t>
            </w:r>
          </w:p>
        </w:tc>
      </w:tr>
      <w:tr w:rsidR="002F37C9" w:rsidRPr="002F37C9" w:rsidTr="002F37C9">
        <w:trPr>
          <w:tblCellSpacing w:w="7" w:type="dxa"/>
        </w:trPr>
        <w:tc>
          <w:tcPr>
            <w:tcW w:w="0" w:type="auto"/>
            <w:gridSpan w:val="3"/>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Дата КД (факт.)</w:t>
            </w:r>
          </w:p>
        </w:tc>
        <w:tc>
          <w:tcPr>
            <w:tcW w:w="0" w:type="auto"/>
            <w:gridSpan w:val="10"/>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 xml:space="preserve">30 июня 2025 г. </w:t>
            </w:r>
          </w:p>
        </w:tc>
      </w:tr>
      <w:tr w:rsidR="002F37C9" w:rsidRPr="002F37C9" w:rsidTr="002F37C9">
        <w:trPr>
          <w:tblCellSpacing w:w="7" w:type="dxa"/>
        </w:trPr>
        <w:tc>
          <w:tcPr>
            <w:tcW w:w="0" w:type="auto"/>
            <w:gridSpan w:val="3"/>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Дата фиксации</w:t>
            </w:r>
          </w:p>
        </w:tc>
        <w:tc>
          <w:tcPr>
            <w:tcW w:w="0" w:type="auto"/>
            <w:gridSpan w:val="10"/>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07 июня 2025 г.</w:t>
            </w:r>
          </w:p>
        </w:tc>
      </w:tr>
      <w:tr w:rsidR="002F37C9" w:rsidRPr="002F37C9" w:rsidTr="002F37C9">
        <w:trPr>
          <w:tblCellSpacing w:w="7" w:type="dxa"/>
        </w:trPr>
        <w:tc>
          <w:tcPr>
            <w:tcW w:w="0" w:type="auto"/>
            <w:gridSpan w:val="3"/>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Способ принятия решений общим собранием</w:t>
            </w:r>
          </w:p>
        </w:tc>
        <w:tc>
          <w:tcPr>
            <w:tcW w:w="0" w:type="auto"/>
            <w:gridSpan w:val="10"/>
            <w:shd w:val="clear" w:color="auto" w:fill="EEEEEE"/>
            <w:vAlign w:val="center"/>
            <w:hideMark/>
          </w:tcPr>
          <w:p w:rsidR="002F37C9" w:rsidRPr="002F37C9" w:rsidRDefault="002F37C9" w:rsidP="002F37C9">
            <w:pPr>
              <w:wordWrap w:val="0"/>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Заочное голосование</w:t>
            </w:r>
          </w:p>
        </w:tc>
      </w:tr>
      <w:tr w:rsidR="002F37C9" w:rsidRPr="002F37C9" w:rsidTr="002F37C9">
        <w:trPr>
          <w:tblHeader/>
          <w:tblCellSpacing w:w="7" w:type="dxa"/>
        </w:trPr>
        <w:tc>
          <w:tcPr>
            <w:tcW w:w="0" w:type="auto"/>
            <w:gridSpan w:val="13"/>
            <w:shd w:val="clear" w:color="auto" w:fill="BBBBBB"/>
            <w:vAlign w:val="center"/>
            <w:hideMark/>
          </w:tcPr>
          <w:p w:rsidR="002F37C9" w:rsidRPr="002F37C9" w:rsidRDefault="002F37C9" w:rsidP="002F37C9">
            <w:pPr>
              <w:spacing w:after="0" w:line="240" w:lineRule="auto"/>
              <w:jc w:val="center"/>
              <w:rPr>
                <w:rFonts w:ascii="Times New Roman" w:eastAsia="Times New Roman" w:hAnsi="Times New Roman"/>
                <w:b/>
                <w:bCs/>
                <w:sz w:val="20"/>
                <w:szCs w:val="20"/>
                <w:lang w:eastAsia="ru-RU"/>
              </w:rPr>
            </w:pPr>
            <w:r w:rsidRPr="002F37C9">
              <w:rPr>
                <w:rFonts w:ascii="Times New Roman" w:eastAsia="Times New Roman" w:hAnsi="Times New Roman"/>
                <w:b/>
                <w:bCs/>
                <w:sz w:val="20"/>
                <w:szCs w:val="20"/>
                <w:lang w:eastAsia="ru-RU"/>
              </w:rPr>
              <w:t>Информация о ценных бумагах</w:t>
            </w:r>
          </w:p>
        </w:tc>
      </w:tr>
      <w:tr w:rsidR="002F37C9" w:rsidRPr="002F37C9" w:rsidTr="002F37C9">
        <w:trPr>
          <w:tblHeader/>
          <w:tblCellSpacing w:w="7" w:type="dxa"/>
        </w:trPr>
        <w:tc>
          <w:tcPr>
            <w:tcW w:w="0" w:type="auto"/>
            <w:shd w:val="clear" w:color="auto" w:fill="BBBBBB"/>
            <w:vAlign w:val="center"/>
            <w:hideMark/>
          </w:tcPr>
          <w:p w:rsidR="002F37C9" w:rsidRPr="002F37C9" w:rsidRDefault="002F37C9" w:rsidP="002F37C9">
            <w:pPr>
              <w:spacing w:after="0" w:line="240" w:lineRule="auto"/>
              <w:jc w:val="center"/>
              <w:rPr>
                <w:rFonts w:ascii="Times New Roman" w:eastAsia="Times New Roman" w:hAnsi="Times New Roman"/>
                <w:b/>
                <w:bCs/>
                <w:sz w:val="20"/>
                <w:szCs w:val="20"/>
                <w:lang w:eastAsia="ru-RU"/>
              </w:rPr>
            </w:pPr>
            <w:r w:rsidRPr="002F37C9">
              <w:rPr>
                <w:rFonts w:ascii="Times New Roman" w:eastAsia="Times New Roman" w:hAnsi="Times New Roman"/>
                <w:b/>
                <w:bCs/>
                <w:sz w:val="20"/>
                <w:szCs w:val="20"/>
                <w:lang w:eastAsia="ru-RU"/>
              </w:rPr>
              <w:t>Референс КД по ценной бумаге</w:t>
            </w:r>
          </w:p>
        </w:tc>
        <w:tc>
          <w:tcPr>
            <w:tcW w:w="0" w:type="auto"/>
            <w:gridSpan w:val="3"/>
            <w:shd w:val="clear" w:color="auto" w:fill="BBBBBB"/>
            <w:vAlign w:val="center"/>
            <w:hideMark/>
          </w:tcPr>
          <w:p w:rsidR="002F37C9" w:rsidRPr="002F37C9" w:rsidRDefault="002F37C9" w:rsidP="002F37C9">
            <w:pPr>
              <w:spacing w:after="0" w:line="240" w:lineRule="auto"/>
              <w:jc w:val="center"/>
              <w:rPr>
                <w:rFonts w:ascii="Times New Roman" w:eastAsia="Times New Roman" w:hAnsi="Times New Roman"/>
                <w:b/>
                <w:bCs/>
                <w:sz w:val="20"/>
                <w:szCs w:val="20"/>
                <w:lang w:eastAsia="ru-RU"/>
              </w:rPr>
            </w:pPr>
            <w:r w:rsidRPr="002F37C9">
              <w:rPr>
                <w:rFonts w:ascii="Times New Roman" w:eastAsia="Times New Roman" w:hAnsi="Times New Roman"/>
                <w:b/>
                <w:bCs/>
                <w:sz w:val="20"/>
                <w:szCs w:val="20"/>
                <w:lang w:eastAsia="ru-RU"/>
              </w:rPr>
              <w:t>Эмитент</w:t>
            </w:r>
          </w:p>
        </w:tc>
        <w:tc>
          <w:tcPr>
            <w:tcW w:w="0" w:type="auto"/>
            <w:shd w:val="clear" w:color="auto" w:fill="BBBBBB"/>
            <w:vAlign w:val="center"/>
            <w:hideMark/>
          </w:tcPr>
          <w:p w:rsidR="002F37C9" w:rsidRPr="002F37C9" w:rsidRDefault="002F37C9" w:rsidP="002F37C9">
            <w:pPr>
              <w:spacing w:after="0" w:line="240" w:lineRule="auto"/>
              <w:jc w:val="center"/>
              <w:rPr>
                <w:rFonts w:ascii="Times New Roman" w:eastAsia="Times New Roman" w:hAnsi="Times New Roman"/>
                <w:b/>
                <w:bCs/>
                <w:sz w:val="20"/>
                <w:szCs w:val="20"/>
                <w:lang w:eastAsia="ru-RU"/>
              </w:rPr>
            </w:pPr>
            <w:r w:rsidRPr="002F37C9">
              <w:rPr>
                <w:rFonts w:ascii="Times New Roman" w:eastAsia="Times New Roman" w:hAnsi="Times New Roman"/>
                <w:b/>
                <w:bCs/>
                <w:sz w:val="20"/>
                <w:szCs w:val="20"/>
                <w:lang w:eastAsia="ru-RU"/>
              </w:rPr>
              <w:t>Регистрационный номер</w:t>
            </w:r>
          </w:p>
        </w:tc>
        <w:tc>
          <w:tcPr>
            <w:tcW w:w="0" w:type="auto"/>
            <w:gridSpan w:val="2"/>
            <w:shd w:val="clear" w:color="auto" w:fill="BBBBBB"/>
            <w:vAlign w:val="center"/>
            <w:hideMark/>
          </w:tcPr>
          <w:p w:rsidR="002F37C9" w:rsidRPr="002F37C9" w:rsidRDefault="002F37C9" w:rsidP="002F37C9">
            <w:pPr>
              <w:spacing w:after="0" w:line="240" w:lineRule="auto"/>
              <w:jc w:val="center"/>
              <w:rPr>
                <w:rFonts w:ascii="Times New Roman" w:eastAsia="Times New Roman" w:hAnsi="Times New Roman"/>
                <w:b/>
                <w:bCs/>
                <w:sz w:val="20"/>
                <w:szCs w:val="20"/>
                <w:lang w:eastAsia="ru-RU"/>
              </w:rPr>
            </w:pPr>
            <w:r w:rsidRPr="002F37C9">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2F37C9" w:rsidRPr="002F37C9" w:rsidRDefault="002F37C9" w:rsidP="002F37C9">
            <w:pPr>
              <w:spacing w:after="0" w:line="240" w:lineRule="auto"/>
              <w:jc w:val="center"/>
              <w:rPr>
                <w:rFonts w:ascii="Times New Roman" w:eastAsia="Times New Roman" w:hAnsi="Times New Roman"/>
                <w:b/>
                <w:bCs/>
                <w:sz w:val="20"/>
                <w:szCs w:val="20"/>
                <w:lang w:eastAsia="ru-RU"/>
              </w:rPr>
            </w:pPr>
            <w:r w:rsidRPr="002F37C9">
              <w:rPr>
                <w:rFonts w:ascii="Times New Roman" w:eastAsia="Times New Roman" w:hAnsi="Times New Roman"/>
                <w:b/>
                <w:bCs/>
                <w:sz w:val="20"/>
                <w:szCs w:val="20"/>
                <w:lang w:eastAsia="ru-RU"/>
              </w:rPr>
              <w:t>Категория</w:t>
            </w:r>
          </w:p>
        </w:tc>
        <w:tc>
          <w:tcPr>
            <w:tcW w:w="0" w:type="auto"/>
            <w:shd w:val="clear" w:color="auto" w:fill="BBBBBB"/>
            <w:vAlign w:val="center"/>
            <w:hideMark/>
          </w:tcPr>
          <w:p w:rsidR="002F37C9" w:rsidRPr="002F37C9" w:rsidRDefault="002F37C9" w:rsidP="002F37C9">
            <w:pPr>
              <w:spacing w:after="0" w:line="240" w:lineRule="auto"/>
              <w:jc w:val="center"/>
              <w:rPr>
                <w:rFonts w:ascii="Times New Roman" w:eastAsia="Times New Roman" w:hAnsi="Times New Roman"/>
                <w:b/>
                <w:bCs/>
                <w:sz w:val="20"/>
                <w:szCs w:val="20"/>
                <w:lang w:eastAsia="ru-RU"/>
              </w:rPr>
            </w:pPr>
            <w:r w:rsidRPr="002F37C9">
              <w:rPr>
                <w:rFonts w:ascii="Times New Roman" w:eastAsia="Times New Roman" w:hAnsi="Times New Roman"/>
                <w:b/>
                <w:bCs/>
                <w:sz w:val="20"/>
                <w:szCs w:val="20"/>
                <w:lang w:eastAsia="ru-RU"/>
              </w:rPr>
              <w:t>Депозитарный код выпуска</w:t>
            </w:r>
          </w:p>
        </w:tc>
        <w:tc>
          <w:tcPr>
            <w:tcW w:w="0" w:type="auto"/>
            <w:gridSpan w:val="3"/>
            <w:shd w:val="clear" w:color="auto" w:fill="BBBBBB"/>
            <w:vAlign w:val="center"/>
            <w:hideMark/>
          </w:tcPr>
          <w:p w:rsidR="002F37C9" w:rsidRPr="002F37C9" w:rsidRDefault="002F37C9" w:rsidP="002F37C9">
            <w:pPr>
              <w:spacing w:after="0" w:line="240" w:lineRule="auto"/>
              <w:jc w:val="center"/>
              <w:rPr>
                <w:rFonts w:ascii="Times New Roman" w:eastAsia="Times New Roman" w:hAnsi="Times New Roman"/>
                <w:b/>
                <w:bCs/>
                <w:sz w:val="20"/>
                <w:szCs w:val="20"/>
                <w:lang w:eastAsia="ru-RU"/>
              </w:rPr>
            </w:pPr>
            <w:r w:rsidRPr="002F37C9">
              <w:rPr>
                <w:rFonts w:ascii="Times New Roman" w:eastAsia="Times New Roman" w:hAnsi="Times New Roman"/>
                <w:b/>
                <w:bCs/>
                <w:sz w:val="20"/>
                <w:szCs w:val="20"/>
                <w:lang w:eastAsia="ru-RU"/>
              </w:rPr>
              <w:t>ISIN</w:t>
            </w:r>
          </w:p>
        </w:tc>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p>
        </w:tc>
      </w:tr>
      <w:tr w:rsidR="002F37C9" w:rsidRPr="002F37C9" w:rsidTr="002F37C9">
        <w:trPr>
          <w:tblCellSpacing w:w="7" w:type="dxa"/>
        </w:trPr>
        <w:tc>
          <w:tcPr>
            <w:tcW w:w="0" w:type="auto"/>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1045600X17760</w:t>
            </w:r>
          </w:p>
        </w:tc>
        <w:tc>
          <w:tcPr>
            <w:tcW w:w="0" w:type="auto"/>
            <w:gridSpan w:val="3"/>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Публичное акционерное общество "СИБУР Холдинг"</w:t>
            </w:r>
          </w:p>
        </w:tc>
        <w:tc>
          <w:tcPr>
            <w:tcW w:w="0" w:type="auto"/>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1-02-65134-D</w:t>
            </w:r>
          </w:p>
        </w:tc>
        <w:tc>
          <w:tcPr>
            <w:tcW w:w="0" w:type="auto"/>
            <w:gridSpan w:val="2"/>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31 мая 2012 г.</w:t>
            </w:r>
          </w:p>
        </w:tc>
        <w:tc>
          <w:tcPr>
            <w:tcW w:w="0" w:type="auto"/>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RU000A0JSTX9</w:t>
            </w:r>
          </w:p>
        </w:tc>
        <w:tc>
          <w:tcPr>
            <w:tcW w:w="0" w:type="auto"/>
            <w:gridSpan w:val="3"/>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RU000A0JSTX9</w:t>
            </w:r>
          </w:p>
        </w:tc>
        <w:tc>
          <w:tcPr>
            <w:tcW w:w="0" w:type="auto"/>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p>
        </w:tc>
      </w:tr>
      <w:tr w:rsidR="002F37C9" w:rsidRPr="002F37C9" w:rsidTr="002F37C9">
        <w:trPr>
          <w:gridAfter w:val="2"/>
          <w:tblHeader/>
          <w:tblCellSpacing w:w="7" w:type="dxa"/>
        </w:trPr>
        <w:tc>
          <w:tcPr>
            <w:tcW w:w="0" w:type="auto"/>
            <w:gridSpan w:val="11"/>
            <w:shd w:val="clear" w:color="auto" w:fill="BBBBBB"/>
            <w:vAlign w:val="center"/>
            <w:hideMark/>
          </w:tcPr>
          <w:p w:rsidR="002F37C9" w:rsidRPr="002F37C9" w:rsidRDefault="002F37C9" w:rsidP="002F37C9">
            <w:pPr>
              <w:spacing w:after="0" w:line="240" w:lineRule="auto"/>
              <w:jc w:val="center"/>
              <w:rPr>
                <w:rFonts w:ascii="Times New Roman" w:eastAsia="Times New Roman" w:hAnsi="Times New Roman"/>
                <w:b/>
                <w:bCs/>
                <w:sz w:val="20"/>
                <w:szCs w:val="20"/>
                <w:lang w:eastAsia="ru-RU"/>
              </w:rPr>
            </w:pPr>
            <w:r w:rsidRPr="002F37C9">
              <w:rPr>
                <w:rFonts w:ascii="Times New Roman" w:eastAsia="Times New Roman" w:hAnsi="Times New Roman"/>
                <w:b/>
                <w:bCs/>
                <w:sz w:val="20"/>
                <w:szCs w:val="20"/>
                <w:lang w:eastAsia="ru-RU"/>
              </w:rPr>
              <w:t>Связанные корпоративные действия</w:t>
            </w:r>
          </w:p>
        </w:tc>
      </w:tr>
      <w:tr w:rsidR="002F37C9" w:rsidRPr="002F37C9" w:rsidTr="002F37C9">
        <w:trPr>
          <w:gridAfter w:val="2"/>
          <w:tblHeader/>
          <w:tblCellSpacing w:w="7" w:type="dxa"/>
        </w:trPr>
        <w:tc>
          <w:tcPr>
            <w:tcW w:w="0" w:type="auto"/>
            <w:gridSpan w:val="6"/>
            <w:shd w:val="clear" w:color="auto" w:fill="BBBBBB"/>
            <w:vAlign w:val="center"/>
            <w:hideMark/>
          </w:tcPr>
          <w:p w:rsidR="002F37C9" w:rsidRPr="002F37C9" w:rsidRDefault="002F37C9" w:rsidP="002F37C9">
            <w:pPr>
              <w:spacing w:after="0" w:line="240" w:lineRule="auto"/>
              <w:jc w:val="center"/>
              <w:rPr>
                <w:rFonts w:ascii="Times New Roman" w:eastAsia="Times New Roman" w:hAnsi="Times New Roman"/>
                <w:b/>
                <w:bCs/>
                <w:sz w:val="20"/>
                <w:szCs w:val="20"/>
                <w:lang w:eastAsia="ru-RU"/>
              </w:rPr>
            </w:pPr>
            <w:r w:rsidRPr="002F37C9">
              <w:rPr>
                <w:rFonts w:ascii="Times New Roman" w:eastAsia="Times New Roman" w:hAnsi="Times New Roman"/>
                <w:b/>
                <w:bCs/>
                <w:sz w:val="20"/>
                <w:szCs w:val="20"/>
                <w:lang w:eastAsia="ru-RU"/>
              </w:rPr>
              <w:t>Код типа КД</w:t>
            </w:r>
          </w:p>
        </w:tc>
        <w:tc>
          <w:tcPr>
            <w:tcW w:w="0" w:type="auto"/>
            <w:gridSpan w:val="5"/>
            <w:shd w:val="clear" w:color="auto" w:fill="BBBBBB"/>
            <w:vAlign w:val="center"/>
            <w:hideMark/>
          </w:tcPr>
          <w:p w:rsidR="002F37C9" w:rsidRPr="002F37C9" w:rsidRDefault="002F37C9" w:rsidP="002F37C9">
            <w:pPr>
              <w:spacing w:after="0" w:line="240" w:lineRule="auto"/>
              <w:jc w:val="center"/>
              <w:rPr>
                <w:rFonts w:ascii="Times New Roman" w:eastAsia="Times New Roman" w:hAnsi="Times New Roman"/>
                <w:b/>
                <w:bCs/>
                <w:sz w:val="20"/>
                <w:szCs w:val="20"/>
                <w:lang w:eastAsia="ru-RU"/>
              </w:rPr>
            </w:pPr>
            <w:r w:rsidRPr="002F37C9">
              <w:rPr>
                <w:rFonts w:ascii="Times New Roman" w:eastAsia="Times New Roman" w:hAnsi="Times New Roman"/>
                <w:b/>
                <w:bCs/>
                <w:sz w:val="20"/>
                <w:szCs w:val="20"/>
                <w:lang w:eastAsia="ru-RU"/>
              </w:rPr>
              <w:t>Референс КД</w:t>
            </w:r>
          </w:p>
        </w:tc>
      </w:tr>
      <w:tr w:rsidR="002F37C9" w:rsidRPr="002F37C9" w:rsidTr="002F37C9">
        <w:trPr>
          <w:tblCellSpacing w:w="7" w:type="dxa"/>
        </w:trPr>
        <w:tc>
          <w:tcPr>
            <w:tcW w:w="0" w:type="auto"/>
            <w:gridSpan w:val="6"/>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DVCA</w:t>
            </w:r>
          </w:p>
        </w:tc>
        <w:tc>
          <w:tcPr>
            <w:tcW w:w="0" w:type="auto"/>
            <w:gridSpan w:val="5"/>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1045610</w:t>
            </w:r>
          </w:p>
        </w:tc>
        <w:tc>
          <w:tcPr>
            <w:tcW w:w="0" w:type="auto"/>
            <w:gridSpan w:val="2"/>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p>
        </w:tc>
      </w:tr>
      <w:tr w:rsidR="002F37C9" w:rsidRPr="002F37C9" w:rsidTr="002F37C9">
        <w:trPr>
          <w:tblHeader/>
          <w:tblCellSpacing w:w="7" w:type="dxa"/>
        </w:trPr>
        <w:tc>
          <w:tcPr>
            <w:tcW w:w="0" w:type="auto"/>
            <w:gridSpan w:val="13"/>
            <w:shd w:val="clear" w:color="auto" w:fill="BBBBBB"/>
            <w:vAlign w:val="center"/>
            <w:hideMark/>
          </w:tcPr>
          <w:p w:rsidR="002F37C9" w:rsidRPr="002F37C9" w:rsidRDefault="002F37C9" w:rsidP="002F37C9">
            <w:pPr>
              <w:spacing w:after="0" w:line="240" w:lineRule="auto"/>
              <w:jc w:val="center"/>
              <w:rPr>
                <w:rFonts w:ascii="Times New Roman" w:eastAsia="Times New Roman" w:hAnsi="Times New Roman"/>
                <w:b/>
                <w:bCs/>
                <w:sz w:val="20"/>
                <w:szCs w:val="20"/>
                <w:lang w:eastAsia="ru-RU"/>
              </w:rPr>
            </w:pPr>
            <w:r w:rsidRPr="002F37C9">
              <w:rPr>
                <w:rFonts w:ascii="Times New Roman" w:eastAsia="Times New Roman" w:hAnsi="Times New Roman"/>
                <w:b/>
                <w:bCs/>
                <w:sz w:val="20"/>
                <w:szCs w:val="20"/>
                <w:lang w:eastAsia="ru-RU"/>
              </w:rPr>
              <w:t>Результаты голосования</w:t>
            </w:r>
          </w:p>
        </w:tc>
      </w:tr>
      <w:tr w:rsidR="002F37C9" w:rsidRPr="002F37C9" w:rsidTr="002F37C9">
        <w:trPr>
          <w:tblCellSpacing w:w="7" w:type="dxa"/>
        </w:trPr>
        <w:tc>
          <w:tcPr>
            <w:tcW w:w="0" w:type="auto"/>
            <w:gridSpan w:val="2"/>
            <w:vMerge w:val="restart"/>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Номер проекта решения:1.1</w:t>
            </w:r>
          </w:p>
        </w:tc>
        <w:tc>
          <w:tcPr>
            <w:tcW w:w="3482" w:type="pct"/>
            <w:gridSpan w:val="8"/>
            <w:vMerge w:val="restart"/>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1. Выплатить дивиденды в денежной форме акционерам ПАО «СИБУР Холдинг» по результатам 1 квартала 2025 года в размере 4 (четыре) рубля 17 копеек на одну обыкновенную акцию, что составляет 10 548 177 775 (десять миллиардов пятьсот сорок восемь миллионов сто семьдесят семь тысяч семьсот семьдесят пять) рублей 95 копеек. 2. Установить, что лица, имеющие право на получение дивидендов по акциям ПАО «СИБУР Холдинг» по результатам 1 квартала 2025 года, определяются по состоянию на 14.07.2025 – 14-й день с даты принятия Общим собранием акционеров ПАО «СИБУР Холдинг» решения о выплате дивидендов по результатам 1 квартала 2025 года.</w:t>
            </w:r>
          </w:p>
        </w:tc>
        <w:tc>
          <w:tcPr>
            <w:tcW w:w="0" w:type="auto"/>
            <w:gridSpan w:val="3"/>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Принято: Да</w:t>
            </w:r>
          </w:p>
        </w:tc>
      </w:tr>
      <w:tr w:rsidR="002F37C9" w:rsidRPr="002F37C9" w:rsidTr="002F37C9">
        <w:trPr>
          <w:tblCellSpacing w:w="7" w:type="dxa"/>
        </w:trPr>
        <w:tc>
          <w:tcPr>
            <w:tcW w:w="0" w:type="auto"/>
            <w:gridSpan w:val="2"/>
            <w:vMerg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p>
        </w:tc>
        <w:tc>
          <w:tcPr>
            <w:tcW w:w="0" w:type="auto"/>
            <w:gridSpan w:val="3"/>
            <w:shd w:val="clear" w:color="auto" w:fill="EEEEEE"/>
            <w:vAlign w:val="center"/>
            <w:hideMark/>
          </w:tcPr>
          <w:p w:rsidR="002F37C9" w:rsidRPr="002F37C9" w:rsidRDefault="002F37C9" w:rsidP="002F37C9">
            <w:pPr>
              <w:spacing w:after="0"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За: 2413770178</w:t>
            </w:r>
          </w:p>
        </w:tc>
      </w:tr>
    </w:tbl>
    <w:p w:rsidR="002F37C9" w:rsidRPr="002F37C9" w:rsidRDefault="002F37C9" w:rsidP="002F37C9">
      <w:pPr>
        <w:spacing w:before="100" w:beforeAutospacing="1" w:after="100" w:afterAutospacing="1"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 xml:space="preserve">4.4 Информация о решениях, принятых общим собранием акционеров эмитента, а также об итогах голосования на общем собрании акционеров эмитента </w:t>
      </w:r>
    </w:p>
    <w:p w:rsidR="002F37C9" w:rsidRDefault="002F37C9" w:rsidP="002F37C9">
      <w:pPr>
        <w:spacing w:before="100" w:beforeAutospacing="1" w:after="100" w:afterAutospacing="1" w:line="240" w:lineRule="auto"/>
        <w:rPr>
          <w:rFonts w:ascii="Times New Roman" w:eastAsia="Times New Roman" w:hAnsi="Times New Roman"/>
          <w:sz w:val="20"/>
          <w:szCs w:val="20"/>
          <w:lang w:eastAsia="ru-RU"/>
        </w:rPr>
      </w:pPr>
      <w:r w:rsidRPr="002F37C9">
        <w:rPr>
          <w:rFonts w:ascii="Times New Roman" w:eastAsia="Times New Roman" w:hAnsi="Times New Roman"/>
          <w:sz w:val="20"/>
          <w:szCs w:val="20"/>
          <w:lang w:eastAsia="ru-RU"/>
        </w:rPr>
        <w:t xml:space="preserve">Приложение 1: </w:t>
      </w:r>
      <w:hyperlink r:id="rId4" w:tgtFrame="_blank" w:history="1">
        <w:r w:rsidRPr="002F37C9">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2F37C9" w:rsidRPr="002D1815" w:rsidRDefault="002F37C9" w:rsidP="002F37C9">
      <w:pPr>
        <w:spacing w:after="0" w:line="240" w:lineRule="auto"/>
        <w:jc w:val="both"/>
        <w:rPr>
          <w:rFonts w:ascii="Times New Roman" w:eastAsia="Times New Roman" w:hAnsi="Times New Roman"/>
          <w:sz w:val="20"/>
          <w:szCs w:val="20"/>
          <w:lang w:eastAsia="ru-RU"/>
        </w:rPr>
      </w:pPr>
      <w:r w:rsidRPr="002F37C9">
        <w:rPr>
          <w:rStyle w:val="a5"/>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FE4454">
        <w:rPr>
          <w:rStyle w:val="a5"/>
          <w:sz w:val="20"/>
          <w:szCs w:val="20"/>
        </w:rPr>
        <w:t>.</w:t>
      </w:r>
      <w:r>
        <w:rPr>
          <w:rStyle w:val="a5"/>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2F37C9" w:rsidRPr="002B7B46" w:rsidRDefault="002F37C9" w:rsidP="002F37C9">
      <w:pPr>
        <w:spacing w:before="100" w:beforeAutospacing="1" w:after="100" w:afterAutospacing="1" w:line="240" w:lineRule="auto"/>
        <w:rPr>
          <w:rFonts w:ascii="Times New Roman" w:eastAsia="Times New Roman" w:hAnsi="Times New Roman"/>
          <w:sz w:val="20"/>
          <w:szCs w:val="20"/>
          <w:lang w:eastAsia="ru-RU"/>
        </w:rPr>
      </w:pPr>
    </w:p>
    <w:p w:rsidR="002F37C9" w:rsidRPr="002F37C9" w:rsidRDefault="002F37C9" w:rsidP="002F37C9">
      <w:pPr>
        <w:spacing w:before="100" w:beforeAutospacing="1" w:after="100" w:afterAutospacing="1" w:line="240" w:lineRule="auto"/>
        <w:rPr>
          <w:rFonts w:ascii="Times New Roman" w:eastAsia="Times New Roman" w:hAnsi="Times New Roman"/>
          <w:sz w:val="20"/>
          <w:szCs w:val="20"/>
          <w:lang w:eastAsia="ru-RU"/>
        </w:rPr>
      </w:pPr>
    </w:p>
    <w:sectPr w:rsidR="002F37C9" w:rsidRPr="002F37C9" w:rsidSect="002F37C9">
      <w:pgSz w:w="11906" w:h="16838"/>
      <w:pgMar w:top="142"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F37C9"/>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8685D"/>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37C9"/>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2F37C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37C9"/>
    <w:rPr>
      <w:rFonts w:ascii="Times New Roman" w:eastAsia="Times New Roman" w:hAnsi="Times New Roman"/>
      <w:b/>
      <w:bCs/>
      <w:kern w:val="36"/>
      <w:sz w:val="48"/>
      <w:szCs w:val="48"/>
    </w:rPr>
  </w:style>
  <w:style w:type="paragraph" w:styleId="a3">
    <w:name w:val="Normal (Web)"/>
    <w:basedOn w:val="a"/>
    <w:uiPriority w:val="99"/>
    <w:semiHidden/>
    <w:unhideWhenUsed/>
    <w:rsid w:val="002F37C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2F37C9"/>
    <w:rPr>
      <w:color w:val="0000FF"/>
      <w:u w:val="single"/>
    </w:rPr>
  </w:style>
  <w:style w:type="paragraph" w:styleId="HTML">
    <w:name w:val="HTML Preformatted"/>
    <w:basedOn w:val="a"/>
    <w:link w:val="HTML0"/>
    <w:uiPriority w:val="99"/>
    <w:semiHidden/>
    <w:unhideWhenUsed/>
    <w:rsid w:val="002F3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F37C9"/>
    <w:rPr>
      <w:rFonts w:ascii="Courier New" w:eastAsia="Times New Roman" w:hAnsi="Courier New" w:cs="Courier New"/>
    </w:rPr>
  </w:style>
  <w:style w:type="character" w:styleId="a5">
    <w:name w:val="Emphasis"/>
    <w:basedOn w:val="a0"/>
    <w:uiPriority w:val="20"/>
    <w:qFormat/>
    <w:rsid w:val="002F37C9"/>
    <w:rPr>
      <w:i/>
      <w:iCs/>
    </w:rPr>
  </w:style>
</w:styles>
</file>

<file path=word/webSettings.xml><?xml version="1.0" encoding="utf-8"?>
<w:webSettings xmlns:r="http://schemas.openxmlformats.org/officeDocument/2006/relationships" xmlns:w="http://schemas.openxmlformats.org/wordprocessingml/2006/main">
  <w:divs>
    <w:div w:id="1108501522">
      <w:bodyDiv w:val="1"/>
      <w:marLeft w:val="0"/>
      <w:marRight w:val="0"/>
      <w:marTop w:val="0"/>
      <w:marBottom w:val="0"/>
      <w:divBdr>
        <w:top w:val="none" w:sz="0" w:space="0" w:color="auto"/>
        <w:left w:val="none" w:sz="0" w:space="0" w:color="auto"/>
        <w:bottom w:val="none" w:sz="0" w:space="0" w:color="auto"/>
        <w:right w:val="none" w:sz="0" w:space="0" w:color="auto"/>
      </w:divBdr>
      <w:divsChild>
        <w:div w:id="1295479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5453808a7b0943368b85bccea74c01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2025-07-07T12:27:00Z</dcterms:created>
  <dcterms:modified xsi:type="dcterms:W3CDTF">2025-07-07T12:30:00Z</dcterms:modified>
</cp:coreProperties>
</file>