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2A" w:rsidRPr="00D27D2A" w:rsidRDefault="00D27D2A" w:rsidP="00D27D2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27D2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52"/>
        <w:gridCol w:w="5455"/>
        <w:gridCol w:w="36"/>
      </w:tblGrid>
      <w:tr w:rsidR="00D27D2A" w:rsidRPr="00D27D2A" w:rsidTr="00D27D2A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78129A">
              <w:rPr>
                <w:rFonts w:ascii="Times New Roman" w:hAnsi="Times New Roman"/>
                <w:sz w:val="20"/>
                <w:szCs w:val="20"/>
                <w:lang w:eastAsia="ru-RU"/>
              </w:rPr>
              <w:t>114449646</w:t>
            </w:r>
            <w:r w:rsidR="0078129A" w:rsidRPr="0078129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78129A" w:rsidRPr="0078129A">
              <w:rPr>
                <w:sz w:val="20"/>
                <w:szCs w:val="20"/>
              </w:rPr>
              <w:t xml:space="preserve"> 114464312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hAnsi="Times New Roman"/>
                <w:sz w:val="20"/>
                <w:szCs w:val="20"/>
                <w:lang w:eastAsia="ru-RU"/>
              </w:rPr>
              <w:t>№ 113846352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7D2A" w:rsidRPr="00D27D2A" w:rsidRDefault="00D27D2A" w:rsidP="00D27D2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27D2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7"/>
        <w:gridCol w:w="1225"/>
        <w:gridCol w:w="844"/>
        <w:gridCol w:w="844"/>
        <w:gridCol w:w="592"/>
        <w:gridCol w:w="592"/>
        <w:gridCol w:w="1331"/>
        <w:gridCol w:w="699"/>
        <w:gridCol w:w="699"/>
        <w:gridCol w:w="1395"/>
        <w:gridCol w:w="634"/>
        <w:gridCol w:w="634"/>
        <w:gridCol w:w="27"/>
      </w:tblGrid>
      <w:tr w:rsidR="00D27D2A" w:rsidRPr="00D27D2A" w:rsidTr="00D27D2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D27D2A" w:rsidRPr="00D27D2A" w:rsidTr="00D27D2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7D2A" w:rsidRPr="00D27D2A" w:rsidTr="00D27D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D2A" w:rsidRPr="00D27D2A" w:rsidTr="00D27D2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28 августа 2025 г. по 09 сентября 2025 г.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 23:59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 20:00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RUB</w:t>
            </w:r>
          </w:p>
        </w:tc>
      </w:tr>
      <w:tr w:rsidR="00D27D2A" w:rsidRPr="00D27D2A" w:rsidTr="00D27D2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27D2A" w:rsidRPr="00D27D2A" w:rsidTr="00D27D2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27D2A" w:rsidRPr="00D27D2A" w:rsidTr="00D27D2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D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7D2A" w:rsidRPr="00D27D2A" w:rsidRDefault="00D27D2A" w:rsidP="00D27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7D2A" w:rsidRPr="00D27D2A" w:rsidRDefault="00D27D2A" w:rsidP="00D27D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D2A">
        <w:rPr>
          <w:rFonts w:ascii="Times New Roman" w:eastAsia="Times New Roman" w:hAnsi="Times New Roman"/>
          <w:sz w:val="20"/>
          <w:szCs w:val="20"/>
          <w:lang w:eastAsia="ru-RU"/>
        </w:rPr>
        <w:t xml:space="preserve">5.10 Информация о цене или порядке определения цены размещения дополнительных акций и ценных бумаг, конвертируемых в акции, в отношении которых возникает преимущественное право их приобретения </w:t>
      </w:r>
    </w:p>
    <w:p w:rsidR="00D27D2A" w:rsidRDefault="00D27D2A" w:rsidP="00D27D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D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27D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27D2A" w:rsidRPr="00545003" w:rsidRDefault="00D27D2A" w:rsidP="00D27D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D2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27D2A" w:rsidRPr="00D27D2A" w:rsidRDefault="00D27D2A" w:rsidP="00D27D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27D2A" w:rsidRPr="00D27D2A" w:rsidSect="00D27D2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7D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6BE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5FD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129A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7D2A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7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D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7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D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27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D2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27D2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27D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2025-09-19T09:43:00Z</dcterms:created>
  <dcterms:modified xsi:type="dcterms:W3CDTF">2025-09-19T11:23:00Z</dcterms:modified>
</cp:coreProperties>
</file>