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161" w:rsidRPr="00A12161" w:rsidRDefault="00A12161" w:rsidP="00A12161">
      <w:pPr>
        <w:spacing w:before="100" w:beforeAutospacing="1" w:after="100" w:afterAutospacing="1"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Сообщение об отмене корпоративного действия</w:t>
      </w:r>
    </w:p>
    <w:tbl>
      <w:tblPr>
        <w:tblW w:w="5000" w:type="pct"/>
        <w:tblCellSpacing w:w="7" w:type="dxa"/>
        <w:tblCellMar>
          <w:left w:w="0" w:type="dxa"/>
          <w:right w:w="0" w:type="dxa"/>
        </w:tblCellMar>
        <w:tblLook w:val="04A0"/>
      </w:tblPr>
      <w:tblGrid>
        <w:gridCol w:w="6022"/>
        <w:gridCol w:w="5022"/>
        <w:gridCol w:w="41"/>
      </w:tblGrid>
      <w:tr w:rsidR="00A12161" w:rsidRPr="00A12161" w:rsidTr="00A12161">
        <w:trPr>
          <w:tblCellSpacing w:w="7" w:type="dxa"/>
        </w:trPr>
        <w:tc>
          <w:tcPr>
            <w:tcW w:w="0" w:type="auto"/>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Сообщение</w:t>
            </w:r>
          </w:p>
        </w:tc>
        <w:tc>
          <w:tcPr>
            <w:tcW w:w="0" w:type="auto"/>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 108842407</w:t>
            </w:r>
          </w:p>
        </w:tc>
        <w:tc>
          <w:tcPr>
            <w:tcW w:w="0" w:type="auto"/>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p>
        </w:tc>
      </w:tr>
      <w:tr w:rsidR="00A12161" w:rsidRPr="00A12161" w:rsidTr="00A12161">
        <w:trPr>
          <w:tblCellSpacing w:w="7" w:type="dxa"/>
        </w:trPr>
        <w:tc>
          <w:tcPr>
            <w:tcW w:w="0" w:type="auto"/>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Функция сообщения:</w:t>
            </w:r>
          </w:p>
        </w:tc>
        <w:tc>
          <w:tcPr>
            <w:tcW w:w="0" w:type="auto"/>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Новое сообщение</w:t>
            </w:r>
          </w:p>
        </w:tc>
        <w:tc>
          <w:tcPr>
            <w:tcW w:w="0" w:type="auto"/>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p>
        </w:tc>
      </w:tr>
      <w:tr w:rsidR="00A12161" w:rsidRPr="00A12161" w:rsidTr="00A12161">
        <w:trPr>
          <w:tblCellSpacing w:w="7" w:type="dxa"/>
        </w:trPr>
        <w:tc>
          <w:tcPr>
            <w:tcW w:w="0" w:type="auto"/>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p>
        </w:tc>
        <w:tc>
          <w:tcPr>
            <w:tcW w:w="0" w:type="auto"/>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p>
        </w:tc>
        <w:tc>
          <w:tcPr>
            <w:tcW w:w="0" w:type="auto"/>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p>
        </w:tc>
      </w:tr>
      <w:tr w:rsidR="00A12161" w:rsidRPr="00A12161" w:rsidTr="00A12161">
        <w:trPr>
          <w:tblCellSpacing w:w="7" w:type="dxa"/>
        </w:trPr>
        <w:tc>
          <w:tcPr>
            <w:tcW w:w="0" w:type="auto"/>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p>
        </w:tc>
        <w:tc>
          <w:tcPr>
            <w:tcW w:w="0" w:type="auto"/>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p>
        </w:tc>
        <w:tc>
          <w:tcPr>
            <w:tcW w:w="0" w:type="auto"/>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p>
        </w:tc>
      </w:tr>
    </w:tbl>
    <w:p w:rsidR="00A12161" w:rsidRPr="00A12161" w:rsidRDefault="00A12161" w:rsidP="00A12161">
      <w:pPr>
        <w:spacing w:before="100" w:beforeAutospacing="1" w:after="100" w:afterAutospacing="1" w:line="240" w:lineRule="auto"/>
        <w:outlineLvl w:val="0"/>
        <w:rPr>
          <w:rFonts w:ascii="Times New Roman" w:eastAsia="Times New Roman" w:hAnsi="Times New Roman"/>
          <w:b/>
          <w:bCs/>
          <w:kern w:val="36"/>
          <w:sz w:val="20"/>
          <w:szCs w:val="20"/>
          <w:lang w:eastAsia="ru-RU"/>
        </w:rPr>
      </w:pPr>
      <w:r w:rsidRPr="00A12161">
        <w:rPr>
          <w:rFonts w:ascii="Times New Roman" w:eastAsia="Times New Roman" w:hAnsi="Times New Roman"/>
          <w:b/>
          <w:bCs/>
          <w:kern w:val="36"/>
          <w:sz w:val="20"/>
          <w:szCs w:val="20"/>
          <w:lang w:eastAsia="ru-RU"/>
        </w:rPr>
        <w:t>(BPUT) Об отмене корпоративного действия "Досрочное погашение ценных бумаг или приобретение их эмитентом" с ценными бумагами эмитента ПАО "ТМК" ИНН 7710373095 (облигация 4B02-07-29031-H / ISIN RU000A0JXSF8)</w:t>
      </w:r>
    </w:p>
    <w:tbl>
      <w:tblPr>
        <w:tblW w:w="5000" w:type="pct"/>
        <w:tblCellSpacing w:w="7" w:type="dxa"/>
        <w:tblCellMar>
          <w:left w:w="0" w:type="dxa"/>
          <w:right w:w="0" w:type="dxa"/>
        </w:tblCellMar>
        <w:tblLook w:val="04A0"/>
      </w:tblPr>
      <w:tblGrid>
        <w:gridCol w:w="1091"/>
        <w:gridCol w:w="1380"/>
        <w:gridCol w:w="478"/>
        <w:gridCol w:w="478"/>
        <w:gridCol w:w="478"/>
        <w:gridCol w:w="1003"/>
        <w:gridCol w:w="838"/>
        <w:gridCol w:w="1190"/>
        <w:gridCol w:w="1190"/>
        <w:gridCol w:w="1101"/>
        <w:gridCol w:w="1067"/>
        <w:gridCol w:w="791"/>
      </w:tblGrid>
      <w:tr w:rsidR="00A12161" w:rsidRPr="00A12161" w:rsidTr="00A12161">
        <w:trPr>
          <w:tblHeader/>
          <w:tblCellSpacing w:w="7" w:type="dxa"/>
        </w:trPr>
        <w:tc>
          <w:tcPr>
            <w:tcW w:w="0" w:type="auto"/>
            <w:gridSpan w:val="12"/>
            <w:shd w:val="clear" w:color="auto" w:fill="BBBBBB"/>
            <w:vAlign w:val="center"/>
            <w:hideMark/>
          </w:tcPr>
          <w:p w:rsidR="00A12161" w:rsidRPr="00A12161" w:rsidRDefault="00A12161" w:rsidP="00A12161">
            <w:pPr>
              <w:spacing w:after="0" w:line="240" w:lineRule="auto"/>
              <w:jc w:val="center"/>
              <w:rPr>
                <w:rFonts w:ascii="Times New Roman" w:eastAsia="Times New Roman" w:hAnsi="Times New Roman"/>
                <w:b/>
                <w:bCs/>
                <w:sz w:val="20"/>
                <w:szCs w:val="20"/>
                <w:lang w:eastAsia="ru-RU"/>
              </w:rPr>
            </w:pPr>
            <w:r w:rsidRPr="00A12161">
              <w:rPr>
                <w:rFonts w:ascii="Times New Roman" w:eastAsia="Times New Roman" w:hAnsi="Times New Roman"/>
                <w:b/>
                <w:bCs/>
                <w:sz w:val="20"/>
                <w:szCs w:val="20"/>
                <w:lang w:eastAsia="ru-RU"/>
              </w:rPr>
              <w:t>Реквизиты корпоративного действия</w:t>
            </w:r>
          </w:p>
        </w:tc>
      </w:tr>
      <w:tr w:rsidR="00A12161" w:rsidRPr="00A12161" w:rsidTr="00A12161">
        <w:trPr>
          <w:tblCellSpacing w:w="7" w:type="dxa"/>
        </w:trPr>
        <w:tc>
          <w:tcPr>
            <w:tcW w:w="0" w:type="auto"/>
            <w:gridSpan w:val="3"/>
            <w:shd w:val="clear" w:color="auto" w:fill="EEEEEE"/>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Референс корпоративного действия</w:t>
            </w:r>
          </w:p>
        </w:tc>
        <w:tc>
          <w:tcPr>
            <w:tcW w:w="0" w:type="auto"/>
            <w:gridSpan w:val="9"/>
            <w:shd w:val="clear" w:color="auto" w:fill="EEEEEE"/>
            <w:vAlign w:val="center"/>
            <w:hideMark/>
          </w:tcPr>
          <w:p w:rsidR="00A12161" w:rsidRPr="00A12161" w:rsidRDefault="00A12161" w:rsidP="00A12161">
            <w:pPr>
              <w:wordWrap w:val="0"/>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808655</w:t>
            </w:r>
          </w:p>
        </w:tc>
      </w:tr>
      <w:tr w:rsidR="00A12161" w:rsidRPr="00A12161" w:rsidTr="00A12161">
        <w:trPr>
          <w:tblCellSpacing w:w="7" w:type="dxa"/>
        </w:trPr>
        <w:tc>
          <w:tcPr>
            <w:tcW w:w="0" w:type="auto"/>
            <w:gridSpan w:val="3"/>
            <w:shd w:val="clear" w:color="auto" w:fill="EEEEEE"/>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Код типа корпоративного действия</w:t>
            </w:r>
          </w:p>
        </w:tc>
        <w:tc>
          <w:tcPr>
            <w:tcW w:w="0" w:type="auto"/>
            <w:gridSpan w:val="9"/>
            <w:shd w:val="clear" w:color="auto" w:fill="EEEEEE"/>
            <w:vAlign w:val="center"/>
            <w:hideMark/>
          </w:tcPr>
          <w:p w:rsidR="00A12161" w:rsidRPr="00A12161" w:rsidRDefault="00A12161" w:rsidP="00A12161">
            <w:pPr>
              <w:wordWrap w:val="0"/>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BPUT</w:t>
            </w:r>
          </w:p>
        </w:tc>
      </w:tr>
      <w:tr w:rsidR="00A12161" w:rsidRPr="00A12161" w:rsidTr="00A12161">
        <w:trPr>
          <w:tblCellSpacing w:w="7" w:type="dxa"/>
        </w:trPr>
        <w:tc>
          <w:tcPr>
            <w:tcW w:w="0" w:type="auto"/>
            <w:gridSpan w:val="3"/>
            <w:shd w:val="clear" w:color="auto" w:fill="EEEEEE"/>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Тип корпоративного действия</w:t>
            </w:r>
          </w:p>
        </w:tc>
        <w:tc>
          <w:tcPr>
            <w:tcW w:w="0" w:type="auto"/>
            <w:gridSpan w:val="9"/>
            <w:shd w:val="clear" w:color="auto" w:fill="EEEEEE"/>
            <w:vAlign w:val="center"/>
            <w:hideMark/>
          </w:tcPr>
          <w:p w:rsidR="00A12161" w:rsidRPr="00A12161" w:rsidRDefault="00A12161" w:rsidP="00A12161">
            <w:pPr>
              <w:wordWrap w:val="0"/>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Досрочное погашение ценных бумаг или приобретение их эмитентом</w:t>
            </w:r>
          </w:p>
        </w:tc>
      </w:tr>
      <w:tr w:rsidR="00A12161" w:rsidRPr="00A12161" w:rsidTr="00A12161">
        <w:trPr>
          <w:tblCellSpacing w:w="7" w:type="dxa"/>
        </w:trPr>
        <w:tc>
          <w:tcPr>
            <w:tcW w:w="0" w:type="auto"/>
            <w:gridSpan w:val="3"/>
            <w:shd w:val="clear" w:color="auto" w:fill="EEEEEE"/>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Статус обработки</w:t>
            </w:r>
          </w:p>
        </w:tc>
        <w:tc>
          <w:tcPr>
            <w:tcW w:w="0" w:type="auto"/>
            <w:gridSpan w:val="9"/>
            <w:shd w:val="clear" w:color="auto" w:fill="EEEEEE"/>
            <w:vAlign w:val="center"/>
            <w:hideMark/>
          </w:tcPr>
          <w:p w:rsidR="00A12161" w:rsidRPr="00A12161" w:rsidRDefault="00A12161" w:rsidP="00A12161">
            <w:pPr>
              <w:wordWrap w:val="0"/>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Полная информация</w:t>
            </w:r>
          </w:p>
        </w:tc>
      </w:tr>
      <w:tr w:rsidR="00A12161" w:rsidRPr="00A12161" w:rsidTr="00A12161">
        <w:trPr>
          <w:tblCellSpacing w:w="7" w:type="dxa"/>
        </w:trPr>
        <w:tc>
          <w:tcPr>
            <w:tcW w:w="0" w:type="auto"/>
            <w:gridSpan w:val="3"/>
            <w:shd w:val="clear" w:color="auto" w:fill="EEEEEE"/>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Дата КД (план.)</w:t>
            </w:r>
          </w:p>
        </w:tc>
        <w:tc>
          <w:tcPr>
            <w:tcW w:w="0" w:type="auto"/>
            <w:gridSpan w:val="9"/>
            <w:shd w:val="clear" w:color="auto" w:fill="EEEEEE"/>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29 мая 2025 г.</w:t>
            </w:r>
          </w:p>
        </w:tc>
      </w:tr>
      <w:tr w:rsidR="00A12161" w:rsidRPr="00A12161" w:rsidTr="00A12161">
        <w:trPr>
          <w:tblHeader/>
          <w:tblCellSpacing w:w="7" w:type="dxa"/>
        </w:trPr>
        <w:tc>
          <w:tcPr>
            <w:tcW w:w="0" w:type="auto"/>
            <w:gridSpan w:val="12"/>
            <w:shd w:val="clear" w:color="auto" w:fill="BBBBBB"/>
            <w:vAlign w:val="center"/>
            <w:hideMark/>
          </w:tcPr>
          <w:p w:rsidR="00A12161" w:rsidRPr="00A12161" w:rsidRDefault="00A12161" w:rsidP="00A12161">
            <w:pPr>
              <w:spacing w:after="0" w:line="240" w:lineRule="auto"/>
              <w:jc w:val="center"/>
              <w:rPr>
                <w:rFonts w:ascii="Times New Roman" w:eastAsia="Times New Roman" w:hAnsi="Times New Roman"/>
                <w:b/>
                <w:bCs/>
                <w:sz w:val="20"/>
                <w:szCs w:val="20"/>
                <w:lang w:eastAsia="ru-RU"/>
              </w:rPr>
            </w:pPr>
            <w:r w:rsidRPr="00A12161">
              <w:rPr>
                <w:rFonts w:ascii="Times New Roman" w:eastAsia="Times New Roman" w:hAnsi="Times New Roman"/>
                <w:b/>
                <w:bCs/>
                <w:sz w:val="20"/>
                <w:szCs w:val="20"/>
                <w:lang w:eastAsia="ru-RU"/>
              </w:rPr>
              <w:t>Информация о ценных бумагах</w:t>
            </w:r>
          </w:p>
        </w:tc>
      </w:tr>
      <w:tr w:rsidR="00A12161" w:rsidRPr="00A12161" w:rsidTr="00A12161">
        <w:trPr>
          <w:tblHeader/>
          <w:tblCellSpacing w:w="7" w:type="dxa"/>
        </w:trPr>
        <w:tc>
          <w:tcPr>
            <w:tcW w:w="0" w:type="auto"/>
            <w:shd w:val="clear" w:color="auto" w:fill="BBBBBB"/>
            <w:vAlign w:val="center"/>
            <w:hideMark/>
          </w:tcPr>
          <w:p w:rsidR="00A12161" w:rsidRPr="00A12161" w:rsidRDefault="00A12161" w:rsidP="00A12161">
            <w:pPr>
              <w:spacing w:after="0" w:line="240" w:lineRule="auto"/>
              <w:jc w:val="center"/>
              <w:rPr>
                <w:rFonts w:ascii="Times New Roman" w:eastAsia="Times New Roman" w:hAnsi="Times New Roman"/>
                <w:b/>
                <w:bCs/>
                <w:sz w:val="20"/>
                <w:szCs w:val="20"/>
                <w:lang w:eastAsia="ru-RU"/>
              </w:rPr>
            </w:pPr>
            <w:r w:rsidRPr="00A12161">
              <w:rPr>
                <w:rFonts w:ascii="Times New Roman" w:eastAsia="Times New Roman" w:hAnsi="Times New Roman"/>
                <w:b/>
                <w:bCs/>
                <w:sz w:val="20"/>
                <w:szCs w:val="20"/>
                <w:lang w:eastAsia="ru-RU"/>
              </w:rPr>
              <w:t>Референс КД по ценной бумаге</w:t>
            </w:r>
          </w:p>
        </w:tc>
        <w:tc>
          <w:tcPr>
            <w:tcW w:w="0" w:type="auto"/>
            <w:shd w:val="clear" w:color="auto" w:fill="BBBBBB"/>
            <w:vAlign w:val="center"/>
            <w:hideMark/>
          </w:tcPr>
          <w:p w:rsidR="00A12161" w:rsidRPr="00A12161" w:rsidRDefault="00A12161" w:rsidP="00A12161">
            <w:pPr>
              <w:spacing w:after="0" w:line="240" w:lineRule="auto"/>
              <w:jc w:val="center"/>
              <w:rPr>
                <w:rFonts w:ascii="Times New Roman" w:eastAsia="Times New Roman" w:hAnsi="Times New Roman"/>
                <w:b/>
                <w:bCs/>
                <w:sz w:val="20"/>
                <w:szCs w:val="20"/>
                <w:lang w:eastAsia="ru-RU"/>
              </w:rPr>
            </w:pPr>
            <w:r w:rsidRPr="00A12161">
              <w:rPr>
                <w:rFonts w:ascii="Times New Roman" w:eastAsia="Times New Roman" w:hAnsi="Times New Roman"/>
                <w:b/>
                <w:bCs/>
                <w:sz w:val="20"/>
                <w:szCs w:val="20"/>
                <w:lang w:eastAsia="ru-RU"/>
              </w:rPr>
              <w:t>Эмитент</w:t>
            </w:r>
          </w:p>
        </w:tc>
        <w:tc>
          <w:tcPr>
            <w:tcW w:w="0" w:type="auto"/>
            <w:gridSpan w:val="3"/>
            <w:shd w:val="clear" w:color="auto" w:fill="BBBBBB"/>
            <w:vAlign w:val="center"/>
            <w:hideMark/>
          </w:tcPr>
          <w:p w:rsidR="00A12161" w:rsidRPr="00A12161" w:rsidRDefault="00A12161" w:rsidP="00A12161">
            <w:pPr>
              <w:spacing w:after="0" w:line="240" w:lineRule="auto"/>
              <w:jc w:val="center"/>
              <w:rPr>
                <w:rFonts w:ascii="Times New Roman" w:eastAsia="Times New Roman" w:hAnsi="Times New Roman"/>
                <w:b/>
                <w:bCs/>
                <w:sz w:val="20"/>
                <w:szCs w:val="20"/>
                <w:lang w:eastAsia="ru-RU"/>
              </w:rPr>
            </w:pPr>
            <w:r w:rsidRPr="00A12161">
              <w:rPr>
                <w:rFonts w:ascii="Times New Roman" w:eastAsia="Times New Roman" w:hAnsi="Times New Roman"/>
                <w:b/>
                <w:bCs/>
                <w:sz w:val="20"/>
                <w:szCs w:val="20"/>
                <w:lang w:eastAsia="ru-RU"/>
              </w:rPr>
              <w:t>Регистрационный номер</w:t>
            </w:r>
          </w:p>
        </w:tc>
        <w:tc>
          <w:tcPr>
            <w:tcW w:w="0" w:type="auto"/>
            <w:shd w:val="clear" w:color="auto" w:fill="BBBBBB"/>
            <w:vAlign w:val="center"/>
            <w:hideMark/>
          </w:tcPr>
          <w:p w:rsidR="00A12161" w:rsidRPr="00A12161" w:rsidRDefault="00A12161" w:rsidP="00A12161">
            <w:pPr>
              <w:spacing w:after="0" w:line="240" w:lineRule="auto"/>
              <w:jc w:val="center"/>
              <w:rPr>
                <w:rFonts w:ascii="Times New Roman" w:eastAsia="Times New Roman" w:hAnsi="Times New Roman"/>
                <w:b/>
                <w:bCs/>
                <w:sz w:val="20"/>
                <w:szCs w:val="20"/>
                <w:lang w:eastAsia="ru-RU"/>
              </w:rPr>
            </w:pPr>
            <w:r w:rsidRPr="00A12161">
              <w:rPr>
                <w:rFonts w:ascii="Times New Roman" w:eastAsia="Times New Roman" w:hAnsi="Times New Roman"/>
                <w:b/>
                <w:bCs/>
                <w:sz w:val="20"/>
                <w:szCs w:val="20"/>
                <w:lang w:eastAsia="ru-RU"/>
              </w:rPr>
              <w:t>Дата регистрации</w:t>
            </w:r>
          </w:p>
        </w:tc>
        <w:tc>
          <w:tcPr>
            <w:tcW w:w="0" w:type="auto"/>
            <w:shd w:val="clear" w:color="auto" w:fill="BBBBBB"/>
            <w:vAlign w:val="center"/>
            <w:hideMark/>
          </w:tcPr>
          <w:p w:rsidR="00A12161" w:rsidRPr="00A12161" w:rsidRDefault="00A12161" w:rsidP="00A12161">
            <w:pPr>
              <w:spacing w:after="0" w:line="240" w:lineRule="auto"/>
              <w:jc w:val="center"/>
              <w:rPr>
                <w:rFonts w:ascii="Times New Roman" w:eastAsia="Times New Roman" w:hAnsi="Times New Roman"/>
                <w:b/>
                <w:bCs/>
                <w:sz w:val="20"/>
                <w:szCs w:val="20"/>
                <w:lang w:eastAsia="ru-RU"/>
              </w:rPr>
            </w:pPr>
            <w:r w:rsidRPr="00A12161">
              <w:rPr>
                <w:rFonts w:ascii="Times New Roman" w:eastAsia="Times New Roman" w:hAnsi="Times New Roman"/>
                <w:b/>
                <w:bCs/>
                <w:sz w:val="20"/>
                <w:szCs w:val="20"/>
                <w:lang w:eastAsia="ru-RU"/>
              </w:rPr>
              <w:t>Категория</w:t>
            </w:r>
          </w:p>
        </w:tc>
        <w:tc>
          <w:tcPr>
            <w:tcW w:w="0" w:type="auto"/>
            <w:shd w:val="clear" w:color="auto" w:fill="BBBBBB"/>
            <w:vAlign w:val="center"/>
            <w:hideMark/>
          </w:tcPr>
          <w:p w:rsidR="00A12161" w:rsidRPr="00A12161" w:rsidRDefault="00A12161" w:rsidP="00A12161">
            <w:pPr>
              <w:spacing w:after="0" w:line="240" w:lineRule="auto"/>
              <w:jc w:val="center"/>
              <w:rPr>
                <w:rFonts w:ascii="Times New Roman" w:eastAsia="Times New Roman" w:hAnsi="Times New Roman"/>
                <w:b/>
                <w:bCs/>
                <w:sz w:val="20"/>
                <w:szCs w:val="20"/>
                <w:lang w:eastAsia="ru-RU"/>
              </w:rPr>
            </w:pPr>
            <w:r w:rsidRPr="00A12161">
              <w:rPr>
                <w:rFonts w:ascii="Times New Roman" w:eastAsia="Times New Roman" w:hAnsi="Times New Roman"/>
                <w:b/>
                <w:bCs/>
                <w:sz w:val="20"/>
                <w:szCs w:val="20"/>
                <w:lang w:eastAsia="ru-RU"/>
              </w:rPr>
              <w:t>Депозитарный код выпуска</w:t>
            </w:r>
          </w:p>
        </w:tc>
        <w:tc>
          <w:tcPr>
            <w:tcW w:w="0" w:type="auto"/>
            <w:shd w:val="clear" w:color="auto" w:fill="BBBBBB"/>
            <w:vAlign w:val="center"/>
            <w:hideMark/>
          </w:tcPr>
          <w:p w:rsidR="00A12161" w:rsidRPr="00A12161" w:rsidRDefault="00A12161" w:rsidP="00A12161">
            <w:pPr>
              <w:spacing w:after="0" w:line="240" w:lineRule="auto"/>
              <w:jc w:val="center"/>
              <w:rPr>
                <w:rFonts w:ascii="Times New Roman" w:eastAsia="Times New Roman" w:hAnsi="Times New Roman"/>
                <w:b/>
                <w:bCs/>
                <w:sz w:val="20"/>
                <w:szCs w:val="20"/>
                <w:lang w:eastAsia="ru-RU"/>
              </w:rPr>
            </w:pPr>
            <w:r w:rsidRPr="00A12161">
              <w:rPr>
                <w:rFonts w:ascii="Times New Roman" w:eastAsia="Times New Roman" w:hAnsi="Times New Roman"/>
                <w:b/>
                <w:bCs/>
                <w:sz w:val="20"/>
                <w:szCs w:val="20"/>
                <w:lang w:eastAsia="ru-RU"/>
              </w:rPr>
              <w:t>ISIN</w:t>
            </w:r>
          </w:p>
        </w:tc>
        <w:tc>
          <w:tcPr>
            <w:tcW w:w="0" w:type="auto"/>
            <w:shd w:val="clear" w:color="auto" w:fill="BBBBBB"/>
            <w:vAlign w:val="center"/>
            <w:hideMark/>
          </w:tcPr>
          <w:p w:rsidR="00A12161" w:rsidRPr="00A12161" w:rsidRDefault="00A12161" w:rsidP="00A12161">
            <w:pPr>
              <w:spacing w:after="0" w:line="240" w:lineRule="auto"/>
              <w:jc w:val="center"/>
              <w:rPr>
                <w:rFonts w:ascii="Times New Roman" w:eastAsia="Times New Roman" w:hAnsi="Times New Roman"/>
                <w:b/>
                <w:bCs/>
                <w:sz w:val="20"/>
                <w:szCs w:val="20"/>
                <w:lang w:eastAsia="ru-RU"/>
              </w:rPr>
            </w:pPr>
            <w:r w:rsidRPr="00A12161">
              <w:rPr>
                <w:rFonts w:ascii="Times New Roman" w:eastAsia="Times New Roman" w:hAnsi="Times New Roman"/>
                <w:b/>
                <w:bCs/>
                <w:sz w:val="20"/>
                <w:szCs w:val="20"/>
                <w:lang w:eastAsia="ru-RU"/>
              </w:rPr>
              <w:t>Номинальная стоимость</w:t>
            </w:r>
          </w:p>
        </w:tc>
        <w:tc>
          <w:tcPr>
            <w:tcW w:w="0" w:type="auto"/>
            <w:shd w:val="clear" w:color="auto" w:fill="BBBBBB"/>
            <w:vAlign w:val="center"/>
            <w:hideMark/>
          </w:tcPr>
          <w:p w:rsidR="00A12161" w:rsidRPr="00A12161" w:rsidRDefault="00A12161" w:rsidP="00A12161">
            <w:pPr>
              <w:spacing w:after="0" w:line="240" w:lineRule="auto"/>
              <w:jc w:val="center"/>
              <w:rPr>
                <w:rFonts w:ascii="Times New Roman" w:eastAsia="Times New Roman" w:hAnsi="Times New Roman"/>
                <w:b/>
                <w:bCs/>
                <w:sz w:val="20"/>
                <w:szCs w:val="20"/>
                <w:lang w:eastAsia="ru-RU"/>
              </w:rPr>
            </w:pPr>
            <w:r w:rsidRPr="00A12161">
              <w:rPr>
                <w:rFonts w:ascii="Times New Roman" w:eastAsia="Times New Roman" w:hAnsi="Times New Roman"/>
                <w:b/>
                <w:bCs/>
                <w:sz w:val="20"/>
                <w:szCs w:val="20"/>
                <w:lang w:eastAsia="ru-RU"/>
              </w:rPr>
              <w:t>Остаточная номинальная стоимость</w:t>
            </w:r>
          </w:p>
        </w:tc>
        <w:tc>
          <w:tcPr>
            <w:tcW w:w="0" w:type="auto"/>
            <w:shd w:val="clear" w:color="auto" w:fill="BBBBBB"/>
            <w:vAlign w:val="center"/>
            <w:hideMark/>
          </w:tcPr>
          <w:p w:rsidR="00A12161" w:rsidRPr="00A12161" w:rsidRDefault="00A12161" w:rsidP="00A12161">
            <w:pPr>
              <w:spacing w:after="0" w:line="240" w:lineRule="auto"/>
              <w:jc w:val="center"/>
              <w:rPr>
                <w:rFonts w:ascii="Times New Roman" w:eastAsia="Times New Roman" w:hAnsi="Times New Roman"/>
                <w:b/>
                <w:bCs/>
                <w:sz w:val="20"/>
                <w:szCs w:val="20"/>
                <w:lang w:eastAsia="ru-RU"/>
              </w:rPr>
            </w:pPr>
            <w:r w:rsidRPr="00A12161">
              <w:rPr>
                <w:rFonts w:ascii="Times New Roman" w:eastAsia="Times New Roman" w:hAnsi="Times New Roman"/>
                <w:b/>
                <w:bCs/>
                <w:sz w:val="20"/>
                <w:szCs w:val="20"/>
                <w:lang w:eastAsia="ru-RU"/>
              </w:rPr>
              <w:t>Валюта номинала</w:t>
            </w:r>
          </w:p>
        </w:tc>
      </w:tr>
      <w:tr w:rsidR="00A12161" w:rsidRPr="00A12161" w:rsidTr="00A12161">
        <w:trPr>
          <w:tblCellSpacing w:w="7" w:type="dxa"/>
        </w:trPr>
        <w:tc>
          <w:tcPr>
            <w:tcW w:w="0" w:type="auto"/>
            <w:shd w:val="clear" w:color="auto" w:fill="EEEEEE"/>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808655X33522</w:t>
            </w:r>
          </w:p>
        </w:tc>
        <w:tc>
          <w:tcPr>
            <w:tcW w:w="0" w:type="auto"/>
            <w:shd w:val="clear" w:color="auto" w:fill="EEEEEE"/>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Публичное акционерное общество "Трубная Металлургическая Компания"</w:t>
            </w:r>
          </w:p>
        </w:tc>
        <w:tc>
          <w:tcPr>
            <w:tcW w:w="0" w:type="auto"/>
            <w:gridSpan w:val="3"/>
            <w:shd w:val="clear" w:color="auto" w:fill="EEEEEE"/>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4B02-07-29031-H</w:t>
            </w:r>
          </w:p>
        </w:tc>
        <w:tc>
          <w:tcPr>
            <w:tcW w:w="0" w:type="auto"/>
            <w:shd w:val="clear" w:color="auto" w:fill="EEEEEE"/>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24 сентября 2013 г.</w:t>
            </w:r>
          </w:p>
        </w:tc>
        <w:tc>
          <w:tcPr>
            <w:tcW w:w="0" w:type="auto"/>
            <w:shd w:val="clear" w:color="auto" w:fill="EEEEEE"/>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 xml:space="preserve">облигации </w:t>
            </w:r>
          </w:p>
        </w:tc>
        <w:tc>
          <w:tcPr>
            <w:tcW w:w="0" w:type="auto"/>
            <w:shd w:val="clear" w:color="auto" w:fill="EEEEEE"/>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RU000A0JXSF8</w:t>
            </w:r>
          </w:p>
        </w:tc>
        <w:tc>
          <w:tcPr>
            <w:tcW w:w="0" w:type="auto"/>
            <w:shd w:val="clear" w:color="auto" w:fill="EEEEEE"/>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RU000A0JXSF8</w:t>
            </w:r>
          </w:p>
        </w:tc>
        <w:tc>
          <w:tcPr>
            <w:tcW w:w="0" w:type="auto"/>
            <w:shd w:val="clear" w:color="auto" w:fill="EEEEEE"/>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1000</w:t>
            </w:r>
          </w:p>
        </w:tc>
        <w:tc>
          <w:tcPr>
            <w:tcW w:w="0" w:type="auto"/>
            <w:shd w:val="clear" w:color="auto" w:fill="EEEEEE"/>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1000</w:t>
            </w:r>
          </w:p>
        </w:tc>
        <w:tc>
          <w:tcPr>
            <w:tcW w:w="0" w:type="auto"/>
            <w:shd w:val="clear" w:color="auto" w:fill="EEEEEE"/>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RUB</w:t>
            </w:r>
          </w:p>
        </w:tc>
      </w:tr>
      <w:tr w:rsidR="00A12161" w:rsidRPr="00A12161" w:rsidTr="00A12161">
        <w:trPr>
          <w:tblHeader/>
          <w:tblCellSpacing w:w="7" w:type="dxa"/>
        </w:trPr>
        <w:tc>
          <w:tcPr>
            <w:tcW w:w="0" w:type="auto"/>
            <w:gridSpan w:val="12"/>
            <w:shd w:val="clear" w:color="auto" w:fill="BBBBBB"/>
            <w:vAlign w:val="center"/>
            <w:hideMark/>
          </w:tcPr>
          <w:p w:rsidR="00A12161" w:rsidRPr="00A12161" w:rsidRDefault="00A12161" w:rsidP="00A12161">
            <w:pPr>
              <w:spacing w:after="0" w:line="240" w:lineRule="auto"/>
              <w:jc w:val="center"/>
              <w:rPr>
                <w:rFonts w:ascii="Times New Roman" w:eastAsia="Times New Roman" w:hAnsi="Times New Roman"/>
                <w:b/>
                <w:bCs/>
                <w:sz w:val="20"/>
                <w:szCs w:val="20"/>
                <w:lang w:eastAsia="ru-RU"/>
              </w:rPr>
            </w:pPr>
            <w:r w:rsidRPr="00A12161">
              <w:rPr>
                <w:rFonts w:ascii="Times New Roman" w:eastAsia="Times New Roman" w:hAnsi="Times New Roman"/>
                <w:b/>
                <w:bCs/>
                <w:sz w:val="20"/>
                <w:szCs w:val="20"/>
                <w:lang w:eastAsia="ru-RU"/>
              </w:rPr>
              <w:t>Детали корпоративного действия</w:t>
            </w:r>
          </w:p>
        </w:tc>
      </w:tr>
      <w:tr w:rsidR="00A12161" w:rsidRPr="00A12161" w:rsidTr="00A12161">
        <w:trPr>
          <w:tblCellSpacing w:w="7" w:type="dxa"/>
        </w:trPr>
        <w:tc>
          <w:tcPr>
            <w:tcW w:w="0" w:type="auto"/>
            <w:gridSpan w:val="4"/>
            <w:shd w:val="clear" w:color="auto" w:fill="EEEEEE"/>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Способ подачи инструкций (требований)</w:t>
            </w:r>
          </w:p>
        </w:tc>
        <w:tc>
          <w:tcPr>
            <w:tcW w:w="0" w:type="auto"/>
            <w:gridSpan w:val="8"/>
            <w:shd w:val="clear" w:color="auto" w:fill="EEEEEE"/>
            <w:vAlign w:val="center"/>
            <w:hideMark/>
          </w:tcPr>
          <w:p w:rsidR="00A12161" w:rsidRPr="00A12161" w:rsidRDefault="00A12161" w:rsidP="00A12161">
            <w:pPr>
              <w:wordWrap w:val="0"/>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Подача требований возможна или эмитенту (агенту эмитента), или через депозитарий без блокирования ценных бумаг</w:t>
            </w:r>
          </w:p>
        </w:tc>
      </w:tr>
      <w:tr w:rsidR="00A12161" w:rsidRPr="00A12161" w:rsidTr="00A12161">
        <w:trPr>
          <w:tblCellSpacing w:w="7" w:type="dxa"/>
        </w:trPr>
        <w:tc>
          <w:tcPr>
            <w:tcW w:w="0" w:type="auto"/>
            <w:gridSpan w:val="4"/>
            <w:shd w:val="clear" w:color="auto" w:fill="EEEEEE"/>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Способ удовлетворения инструкций (требований)</w:t>
            </w:r>
          </w:p>
        </w:tc>
        <w:tc>
          <w:tcPr>
            <w:tcW w:w="0" w:type="auto"/>
            <w:gridSpan w:val="8"/>
            <w:shd w:val="clear" w:color="auto" w:fill="EEEEEE"/>
            <w:vAlign w:val="center"/>
            <w:hideMark/>
          </w:tcPr>
          <w:p w:rsidR="00A12161" w:rsidRPr="00A12161" w:rsidRDefault="00A12161" w:rsidP="00A12161">
            <w:pPr>
              <w:wordWrap w:val="0"/>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Удовлетворение инструкций (требований) по корпоративному действию единовременно</w:t>
            </w:r>
          </w:p>
        </w:tc>
      </w:tr>
      <w:tr w:rsidR="00A12161" w:rsidRPr="00A12161" w:rsidTr="00A12161">
        <w:trPr>
          <w:tblCellSpacing w:w="7" w:type="dxa"/>
        </w:trPr>
        <w:tc>
          <w:tcPr>
            <w:tcW w:w="0" w:type="auto"/>
            <w:gridSpan w:val="4"/>
            <w:shd w:val="clear" w:color="auto" w:fill="EEEEEE"/>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 xml:space="preserve">Цена приобретения/досрочного погашения от номинальной стоимости (в процентах) </w:t>
            </w:r>
          </w:p>
        </w:tc>
        <w:tc>
          <w:tcPr>
            <w:tcW w:w="0" w:type="auto"/>
            <w:gridSpan w:val="8"/>
            <w:shd w:val="clear" w:color="auto" w:fill="EEEEEE"/>
            <w:vAlign w:val="center"/>
            <w:hideMark/>
          </w:tcPr>
          <w:p w:rsidR="00A12161" w:rsidRPr="00A12161" w:rsidRDefault="00A12161" w:rsidP="00A12161">
            <w:pPr>
              <w:wordWrap w:val="0"/>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100</w:t>
            </w:r>
          </w:p>
        </w:tc>
      </w:tr>
      <w:tr w:rsidR="00A12161" w:rsidRPr="00A12161" w:rsidTr="00A12161">
        <w:trPr>
          <w:tblCellSpacing w:w="7" w:type="dxa"/>
        </w:trPr>
        <w:tc>
          <w:tcPr>
            <w:tcW w:w="0" w:type="auto"/>
            <w:gridSpan w:val="4"/>
            <w:shd w:val="clear" w:color="auto" w:fill="EEEEEE"/>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 xml:space="preserve">Валюта платежа </w:t>
            </w:r>
          </w:p>
        </w:tc>
        <w:tc>
          <w:tcPr>
            <w:tcW w:w="0" w:type="auto"/>
            <w:gridSpan w:val="8"/>
            <w:shd w:val="clear" w:color="auto" w:fill="EEEEEE"/>
            <w:vAlign w:val="center"/>
            <w:hideMark/>
          </w:tcPr>
          <w:p w:rsidR="00A12161" w:rsidRPr="00A12161" w:rsidRDefault="00A12161" w:rsidP="00A12161">
            <w:pPr>
              <w:wordWrap w:val="0"/>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RUB</w:t>
            </w:r>
          </w:p>
        </w:tc>
      </w:tr>
      <w:tr w:rsidR="00A12161" w:rsidRPr="00A12161" w:rsidTr="00A12161">
        <w:trPr>
          <w:tblCellSpacing w:w="7" w:type="dxa"/>
        </w:trPr>
        <w:tc>
          <w:tcPr>
            <w:tcW w:w="0" w:type="auto"/>
            <w:gridSpan w:val="4"/>
            <w:shd w:val="clear" w:color="auto" w:fill="EEEEEE"/>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Описание порядка определения цены</w:t>
            </w:r>
          </w:p>
        </w:tc>
        <w:tc>
          <w:tcPr>
            <w:tcW w:w="0" w:type="auto"/>
            <w:gridSpan w:val="8"/>
            <w:shd w:val="clear" w:color="auto" w:fill="EEEEEE"/>
            <w:vAlign w:val="center"/>
            <w:hideMark/>
          </w:tcPr>
          <w:p w:rsidR="00A12161" w:rsidRPr="00A12161" w:rsidRDefault="00A12161" w:rsidP="00A12161">
            <w:pPr>
              <w:wordWrap w:val="0"/>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НКД = Nom * Cj * (Т - T(j-1)) / 365 / 100%, &lt;br/&gt;где&lt;br/&gt;НКД - накопленный купонный доход, руб.;&lt;br/&gt;j - порядковый номер текущего купонного периода, j = 1 - 20;&lt;br/&gt;Nom – непогашенная часть номинальной стоимости одной Биржевой облигации, руб.;&lt;br/&gt;Cj - размер процентной ставки j - того купона в процентах годовых (%);&lt;br</w:t>
            </w:r>
            <w:proofErr w:type="gramStart"/>
            <w:r w:rsidRPr="00A12161">
              <w:rPr>
                <w:rFonts w:ascii="Times New Roman" w:eastAsia="Times New Roman" w:hAnsi="Times New Roman"/>
                <w:sz w:val="20"/>
                <w:szCs w:val="20"/>
                <w:lang w:eastAsia="ru-RU"/>
              </w:rPr>
              <w:t>/&gt;Т</w:t>
            </w:r>
            <w:proofErr w:type="gramEnd"/>
            <w:r w:rsidRPr="00A12161">
              <w:rPr>
                <w:rFonts w:ascii="Times New Roman" w:eastAsia="Times New Roman" w:hAnsi="Times New Roman"/>
                <w:sz w:val="20"/>
                <w:szCs w:val="20"/>
                <w:lang w:eastAsia="ru-RU"/>
              </w:rPr>
              <w:t xml:space="preserve"> - дата расчета накопленного купонного дохода внутри j - купонного периода, являющаяся датой досрочного погашения Биржевых облигаций;&lt;br/&gt;T(j-1) - дата начала купонного периода j - того купона (для случая первого купонного периода Т(j-1) – это дата начала размещения Биржевых облигаций). &lt;br/&gt;&lt;br/&gt;Сумма НКД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sidRPr="00A12161">
              <w:rPr>
                <w:rFonts w:ascii="Times New Roman" w:eastAsia="Times New Roman" w:hAnsi="Times New Roman"/>
                <w:sz w:val="20"/>
                <w:szCs w:val="20"/>
                <w:lang w:eastAsia="ru-RU"/>
              </w:rPr>
              <w:t>за</w:t>
            </w:r>
            <w:proofErr w:type="gramEnd"/>
            <w:r w:rsidRPr="00A12161">
              <w:rPr>
                <w:rFonts w:ascii="Times New Roman" w:eastAsia="Times New Roman" w:hAnsi="Times New Roman"/>
                <w:sz w:val="20"/>
                <w:szCs w:val="20"/>
                <w:lang w:eastAsia="ru-RU"/>
              </w:rPr>
              <w:t xml:space="preserve"> округляемой цифра находится в промежутке от 0 до 4, и увеличивается на единицу, если первая за округляемой цифра находится в промежутке от 5 до 9.</w:t>
            </w:r>
          </w:p>
        </w:tc>
      </w:tr>
      <w:tr w:rsidR="00A12161" w:rsidRPr="00A12161" w:rsidTr="00A12161">
        <w:trPr>
          <w:tblCellSpacing w:w="7" w:type="dxa"/>
        </w:trPr>
        <w:tc>
          <w:tcPr>
            <w:tcW w:w="0" w:type="auto"/>
            <w:gridSpan w:val="4"/>
            <w:shd w:val="clear" w:color="auto" w:fill="EEEEEE"/>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Период действия предложения</w:t>
            </w:r>
          </w:p>
        </w:tc>
        <w:tc>
          <w:tcPr>
            <w:tcW w:w="0" w:type="auto"/>
            <w:gridSpan w:val="8"/>
            <w:shd w:val="clear" w:color="auto" w:fill="EEEEEE"/>
            <w:vAlign w:val="center"/>
            <w:hideMark/>
          </w:tcPr>
          <w:p w:rsidR="00A12161" w:rsidRPr="00A12161" w:rsidRDefault="00A12161" w:rsidP="00A12161">
            <w:pPr>
              <w:wordWrap w:val="0"/>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с 19 мая 2025 г. по 23 мая 2025 г.</w:t>
            </w:r>
          </w:p>
        </w:tc>
      </w:tr>
      <w:tr w:rsidR="00A12161" w:rsidRPr="00A12161" w:rsidTr="00A12161">
        <w:trPr>
          <w:tblCellSpacing w:w="7" w:type="dxa"/>
        </w:trPr>
        <w:tc>
          <w:tcPr>
            <w:tcW w:w="0" w:type="auto"/>
            <w:gridSpan w:val="4"/>
            <w:shd w:val="clear" w:color="auto" w:fill="EEEEEE"/>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Дата и время окончания приема инструкций (требований) по корпоративному действию, установленные инициатором</w:t>
            </w:r>
          </w:p>
        </w:tc>
        <w:tc>
          <w:tcPr>
            <w:tcW w:w="0" w:type="auto"/>
            <w:gridSpan w:val="8"/>
            <w:shd w:val="clear" w:color="auto" w:fill="EEEEEE"/>
            <w:vAlign w:val="center"/>
            <w:hideMark/>
          </w:tcPr>
          <w:p w:rsidR="00A12161" w:rsidRPr="00A12161" w:rsidRDefault="00A12161" w:rsidP="00A12161">
            <w:pPr>
              <w:wordWrap w:val="0"/>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23 мая 2025 г.</w:t>
            </w:r>
          </w:p>
        </w:tc>
      </w:tr>
      <w:tr w:rsidR="00A12161" w:rsidRPr="00A12161" w:rsidTr="00A12161">
        <w:trPr>
          <w:tblCellSpacing w:w="7" w:type="dxa"/>
        </w:trPr>
        <w:tc>
          <w:tcPr>
            <w:tcW w:w="0" w:type="auto"/>
            <w:gridSpan w:val="4"/>
            <w:shd w:val="clear" w:color="auto" w:fill="EEEEEE"/>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Дата и время окончания приема инструкций по корпоративному действию, установленные НКО АО НРД</w:t>
            </w:r>
          </w:p>
        </w:tc>
        <w:tc>
          <w:tcPr>
            <w:tcW w:w="0" w:type="auto"/>
            <w:gridSpan w:val="8"/>
            <w:shd w:val="clear" w:color="auto" w:fill="EEEEEE"/>
            <w:vAlign w:val="center"/>
            <w:hideMark/>
          </w:tcPr>
          <w:p w:rsidR="00A12161" w:rsidRPr="00A12161" w:rsidRDefault="00A12161" w:rsidP="00A12161">
            <w:pPr>
              <w:wordWrap w:val="0"/>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23 мая 2025 г. 16:00</w:t>
            </w:r>
          </w:p>
        </w:tc>
      </w:tr>
      <w:tr w:rsidR="00A12161" w:rsidRPr="00A12161" w:rsidTr="00A12161">
        <w:trPr>
          <w:tblCellSpacing w:w="7" w:type="dxa"/>
        </w:trPr>
        <w:tc>
          <w:tcPr>
            <w:tcW w:w="0" w:type="auto"/>
            <w:gridSpan w:val="4"/>
            <w:shd w:val="clear" w:color="auto" w:fill="EEEEEE"/>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 xml:space="preserve">Максимальное количество облигаций, </w:t>
            </w:r>
            <w:r w:rsidRPr="00A12161">
              <w:rPr>
                <w:rFonts w:ascii="Times New Roman" w:eastAsia="Times New Roman" w:hAnsi="Times New Roman"/>
                <w:sz w:val="20"/>
                <w:szCs w:val="20"/>
                <w:lang w:eastAsia="ru-RU"/>
              </w:rPr>
              <w:lastRenderedPageBreak/>
              <w:t>приобретаемых/погашаемых эмитентом</w:t>
            </w:r>
          </w:p>
        </w:tc>
        <w:tc>
          <w:tcPr>
            <w:tcW w:w="0" w:type="auto"/>
            <w:gridSpan w:val="8"/>
            <w:shd w:val="clear" w:color="auto" w:fill="EEEEEE"/>
            <w:vAlign w:val="center"/>
            <w:hideMark/>
          </w:tcPr>
          <w:p w:rsidR="00A12161" w:rsidRPr="00A12161" w:rsidRDefault="00A12161" w:rsidP="00A12161">
            <w:pPr>
              <w:wordWrap w:val="0"/>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lastRenderedPageBreak/>
              <w:t>Любое количество</w:t>
            </w:r>
          </w:p>
        </w:tc>
      </w:tr>
    </w:tbl>
    <w:p w:rsidR="00A12161" w:rsidRPr="00A12161" w:rsidRDefault="00A12161" w:rsidP="00A12161">
      <w:pPr>
        <w:spacing w:after="0" w:line="240" w:lineRule="auto"/>
        <w:rPr>
          <w:rFonts w:ascii="Times New Roman" w:eastAsia="Times New Roman" w:hAnsi="Times New Roman"/>
          <w:sz w:val="20"/>
          <w:szCs w:val="20"/>
          <w:lang w:eastAsia="ru-RU"/>
        </w:rPr>
      </w:pPr>
    </w:p>
    <w:tbl>
      <w:tblPr>
        <w:tblW w:w="5000" w:type="pct"/>
        <w:tblCellSpacing w:w="7" w:type="dxa"/>
        <w:tblCellMar>
          <w:left w:w="0" w:type="dxa"/>
          <w:right w:w="0" w:type="dxa"/>
        </w:tblCellMar>
        <w:tblLook w:val="04A0"/>
      </w:tblPr>
      <w:tblGrid>
        <w:gridCol w:w="2158"/>
        <w:gridCol w:w="8927"/>
      </w:tblGrid>
      <w:tr w:rsidR="00A12161" w:rsidRPr="00A12161" w:rsidTr="00A12161">
        <w:trPr>
          <w:tblHeader/>
          <w:tblCellSpacing w:w="7" w:type="dxa"/>
        </w:trPr>
        <w:tc>
          <w:tcPr>
            <w:tcW w:w="0" w:type="auto"/>
            <w:gridSpan w:val="2"/>
            <w:shd w:val="clear" w:color="auto" w:fill="BBBBBB"/>
            <w:vAlign w:val="center"/>
            <w:hideMark/>
          </w:tcPr>
          <w:p w:rsidR="00A12161" w:rsidRPr="00A12161" w:rsidRDefault="00A12161" w:rsidP="00A12161">
            <w:pPr>
              <w:spacing w:after="0" w:line="240" w:lineRule="auto"/>
              <w:jc w:val="center"/>
              <w:rPr>
                <w:rFonts w:ascii="Times New Roman" w:eastAsia="Times New Roman" w:hAnsi="Times New Roman"/>
                <w:b/>
                <w:bCs/>
                <w:sz w:val="20"/>
                <w:szCs w:val="20"/>
                <w:lang w:eastAsia="ru-RU"/>
              </w:rPr>
            </w:pPr>
            <w:r w:rsidRPr="00A12161">
              <w:rPr>
                <w:rFonts w:ascii="Times New Roman" w:eastAsia="Times New Roman" w:hAnsi="Times New Roman"/>
                <w:b/>
                <w:bCs/>
                <w:sz w:val="20"/>
                <w:szCs w:val="20"/>
                <w:lang w:eastAsia="ru-RU"/>
              </w:rPr>
              <w:t>Параметры отмены</w:t>
            </w:r>
          </w:p>
        </w:tc>
      </w:tr>
      <w:tr w:rsidR="00A12161" w:rsidRPr="00A12161" w:rsidTr="00A12161">
        <w:trPr>
          <w:tblCellSpacing w:w="7" w:type="dxa"/>
        </w:trPr>
        <w:tc>
          <w:tcPr>
            <w:tcW w:w="0" w:type="auto"/>
            <w:shd w:val="clear" w:color="auto" w:fill="EEEEEE"/>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Причина отмены</w:t>
            </w:r>
          </w:p>
        </w:tc>
        <w:tc>
          <w:tcPr>
            <w:tcW w:w="0" w:type="auto"/>
            <w:shd w:val="clear" w:color="auto" w:fill="EEEEEE"/>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Отмена инициатором</w:t>
            </w:r>
          </w:p>
        </w:tc>
      </w:tr>
      <w:tr w:rsidR="00A12161" w:rsidRPr="00A12161" w:rsidTr="00A12161">
        <w:trPr>
          <w:tblCellSpacing w:w="7" w:type="dxa"/>
        </w:trPr>
        <w:tc>
          <w:tcPr>
            <w:tcW w:w="0" w:type="auto"/>
            <w:shd w:val="clear" w:color="auto" w:fill="EEEEEE"/>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Дополнительная информация</w:t>
            </w:r>
          </w:p>
        </w:tc>
        <w:tc>
          <w:tcPr>
            <w:tcW w:w="0" w:type="auto"/>
            <w:shd w:val="clear" w:color="auto" w:fill="EEEEEE"/>
            <w:vAlign w:val="center"/>
            <w:hideMark/>
          </w:tcPr>
          <w:p w:rsidR="00A12161" w:rsidRPr="00A12161" w:rsidRDefault="00A12161" w:rsidP="00A12161">
            <w:pPr>
              <w:spacing w:after="0" w:line="240" w:lineRule="auto"/>
              <w:rPr>
                <w:rFonts w:ascii="Times New Roman" w:eastAsia="Times New Roman" w:hAnsi="Times New Roman"/>
                <w:sz w:val="20"/>
                <w:szCs w:val="20"/>
                <w:lang w:eastAsia="ru-RU"/>
              </w:rPr>
            </w:pPr>
            <w:r w:rsidRPr="00A12161">
              <w:rPr>
                <w:rFonts w:ascii="Times New Roman" w:eastAsia="Times New Roman" w:hAnsi="Times New Roman"/>
                <w:sz w:val="20"/>
                <w:szCs w:val="20"/>
                <w:lang w:eastAsia="ru-RU"/>
              </w:rPr>
              <w:t>КД отменено в связи с исполнением Эмитентом обязательств по досрочному погашению биржевых облигаций 4B02-07-29031-H / ISIN RU000A0JXSF8</w:t>
            </w:r>
          </w:p>
        </w:tc>
      </w:tr>
    </w:tbl>
    <w:p w:rsidR="00A12161" w:rsidRPr="00A12161" w:rsidRDefault="00A12161" w:rsidP="00A12161">
      <w:pPr>
        <w:spacing w:after="0" w:line="240" w:lineRule="auto"/>
        <w:rPr>
          <w:rFonts w:ascii="Times New Roman" w:eastAsia="Times New Roman" w:hAnsi="Times New Roman"/>
          <w:sz w:val="20"/>
          <w:szCs w:val="20"/>
          <w:lang w:eastAsia="ru-RU"/>
        </w:rPr>
      </w:pPr>
    </w:p>
    <w:p w:rsidR="00A12161" w:rsidRPr="00A12161" w:rsidRDefault="00A12161" w:rsidP="00A12161">
      <w:pPr>
        <w:spacing w:before="100" w:beforeAutospacing="1" w:after="100" w:afterAutospacing="1" w:line="240" w:lineRule="auto"/>
        <w:rPr>
          <w:rFonts w:ascii="Times New Roman" w:eastAsia="Times New Roman" w:hAnsi="Times New Roman"/>
          <w:sz w:val="24"/>
          <w:szCs w:val="24"/>
          <w:lang w:eastAsia="ru-RU"/>
        </w:rPr>
      </w:pPr>
      <w:r w:rsidRPr="00A12161">
        <w:rPr>
          <w:rFonts w:ascii="Times New Roman" w:eastAsia="Times New Roman" w:hAnsi="Times New Roman"/>
          <w:sz w:val="20"/>
          <w:szCs w:val="20"/>
          <w:lang w:eastAsia="ru-RU"/>
        </w:rPr>
        <w:t xml:space="preserve">Приложение 1: </w:t>
      </w:r>
      <w:hyperlink r:id="rId4" w:tgtFrame="_blank" w:history="1">
        <w:r w:rsidRPr="00A12161">
          <w:rPr>
            <w:rFonts w:ascii="Times New Roman" w:eastAsia="Times New Roman" w:hAnsi="Times New Roman"/>
            <w:color w:val="0000FF"/>
            <w:sz w:val="20"/>
            <w:szCs w:val="20"/>
            <w:u w:val="single"/>
            <w:lang w:eastAsia="ru-RU"/>
          </w:rPr>
          <w:t>Адрес в сети Интернет, по которому можно ознакомиться с дополнительной документацией</w:t>
        </w:r>
      </w:hyperlink>
    </w:p>
    <w:p w:rsidR="00A12161" w:rsidRPr="00813556" w:rsidRDefault="00A12161" w:rsidP="00A12161">
      <w:pPr>
        <w:spacing w:before="100" w:beforeAutospacing="1" w:after="100" w:afterAutospacing="1" w:line="240" w:lineRule="auto"/>
        <w:jc w:val="both"/>
        <w:rPr>
          <w:rFonts w:ascii="Arial" w:hAnsi="Arial" w:cs="Arial"/>
          <w:sz w:val="24"/>
          <w:szCs w:val="24"/>
        </w:rPr>
      </w:pPr>
      <w:r w:rsidRPr="00493013">
        <w:rPr>
          <w:rStyle w:val="a5"/>
          <w:rFonts w:ascii="Times New Roman" w:hAnsi="Times New Roman"/>
          <w:i w:val="0"/>
          <w:sz w:val="20"/>
          <w:szCs w:val="20"/>
        </w:rPr>
        <w:t>Информация о корпоративном действии получена Депозитарием АО «БАНК СГБ» от вышестоящего депозитария. Депозитарий АО «БАНК СГБ» не отвечает за полноту и достоверность информации, полученной от третьих лиц. Предоставление материалов к корпоративному действию, бюллетеней для голосования на общем собрании акционеров и дополнительной информации осуществляется по запросу Депонента.</w:t>
      </w:r>
      <w:r>
        <w:rPr>
          <w:rStyle w:val="a5"/>
          <w:sz w:val="20"/>
          <w:szCs w:val="20"/>
        </w:rPr>
        <w:t xml:space="preserve"> </w:t>
      </w:r>
      <w:r>
        <w:rPr>
          <w:rFonts w:ascii="Times New Roman" w:hAnsi="Times New Roman"/>
          <w:sz w:val="20"/>
          <w:szCs w:val="20"/>
        </w:rPr>
        <w:t>По вопросам, связанным с настоящим сообщением, Вы можете обращаться в Депозитарий АО «БАНК СГБ»  по  телефонам: (8172) 57-36-53, 57-36-82</w:t>
      </w:r>
    </w:p>
    <w:p w:rsidR="00D03BCB" w:rsidRPr="00813556" w:rsidRDefault="00D03BCB" w:rsidP="00813556">
      <w:pPr>
        <w:spacing w:after="0" w:line="240" w:lineRule="auto"/>
        <w:rPr>
          <w:rFonts w:ascii="Arial" w:hAnsi="Arial" w:cs="Arial"/>
          <w:sz w:val="24"/>
          <w:szCs w:val="24"/>
        </w:rPr>
      </w:pPr>
    </w:p>
    <w:sectPr w:rsidR="00D03BCB" w:rsidRPr="00813556" w:rsidSect="00A12161">
      <w:pgSz w:w="11906" w:h="16838"/>
      <w:pgMar w:top="1134" w:right="282"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characterSpacingControl w:val="doNotCompress"/>
  <w:compat/>
  <w:rsids>
    <w:rsidRoot w:val="00A12161"/>
    <w:rsid w:val="000048F3"/>
    <w:rsid w:val="00005594"/>
    <w:rsid w:val="00007F2B"/>
    <w:rsid w:val="00016B72"/>
    <w:rsid w:val="0001773C"/>
    <w:rsid w:val="00020E39"/>
    <w:rsid w:val="00027C62"/>
    <w:rsid w:val="00032045"/>
    <w:rsid w:val="0003295F"/>
    <w:rsid w:val="00032BB1"/>
    <w:rsid w:val="000331C2"/>
    <w:rsid w:val="000524F0"/>
    <w:rsid w:val="0005369D"/>
    <w:rsid w:val="000544B1"/>
    <w:rsid w:val="00060EF6"/>
    <w:rsid w:val="000651C2"/>
    <w:rsid w:val="000675DD"/>
    <w:rsid w:val="00085DDA"/>
    <w:rsid w:val="00093019"/>
    <w:rsid w:val="00095121"/>
    <w:rsid w:val="000968B5"/>
    <w:rsid w:val="000A1223"/>
    <w:rsid w:val="000A1249"/>
    <w:rsid w:val="000C10F3"/>
    <w:rsid w:val="000D1CE9"/>
    <w:rsid w:val="000E2359"/>
    <w:rsid w:val="000F230A"/>
    <w:rsid w:val="00100971"/>
    <w:rsid w:val="00104E0F"/>
    <w:rsid w:val="0013321F"/>
    <w:rsid w:val="00141FF6"/>
    <w:rsid w:val="00166251"/>
    <w:rsid w:val="00166479"/>
    <w:rsid w:val="001840A4"/>
    <w:rsid w:val="00187C53"/>
    <w:rsid w:val="001906DC"/>
    <w:rsid w:val="001B3221"/>
    <w:rsid w:val="001B363C"/>
    <w:rsid w:val="001C5053"/>
    <w:rsid w:val="001E34F7"/>
    <w:rsid w:val="001F1ADD"/>
    <w:rsid w:val="00204C92"/>
    <w:rsid w:val="00225515"/>
    <w:rsid w:val="0022784C"/>
    <w:rsid w:val="002368CF"/>
    <w:rsid w:val="002552F8"/>
    <w:rsid w:val="0026131F"/>
    <w:rsid w:val="00276272"/>
    <w:rsid w:val="0028288B"/>
    <w:rsid w:val="002A1F56"/>
    <w:rsid w:val="002A291D"/>
    <w:rsid w:val="002A3E1C"/>
    <w:rsid w:val="002A40D8"/>
    <w:rsid w:val="002A59BF"/>
    <w:rsid w:val="002A65C0"/>
    <w:rsid w:val="002B1057"/>
    <w:rsid w:val="002B50AA"/>
    <w:rsid w:val="002B741B"/>
    <w:rsid w:val="002B750F"/>
    <w:rsid w:val="002C13D5"/>
    <w:rsid w:val="002F106A"/>
    <w:rsid w:val="002F1553"/>
    <w:rsid w:val="002F6E0F"/>
    <w:rsid w:val="00301638"/>
    <w:rsid w:val="00314400"/>
    <w:rsid w:val="00317C74"/>
    <w:rsid w:val="003323FC"/>
    <w:rsid w:val="00343B7A"/>
    <w:rsid w:val="00373641"/>
    <w:rsid w:val="0038790A"/>
    <w:rsid w:val="00391333"/>
    <w:rsid w:val="00397AF5"/>
    <w:rsid w:val="003A03DC"/>
    <w:rsid w:val="003B399A"/>
    <w:rsid w:val="003C3666"/>
    <w:rsid w:val="003C4906"/>
    <w:rsid w:val="003D7088"/>
    <w:rsid w:val="003E2ACC"/>
    <w:rsid w:val="003F2ED7"/>
    <w:rsid w:val="004069D4"/>
    <w:rsid w:val="00414FC4"/>
    <w:rsid w:val="00415114"/>
    <w:rsid w:val="004232A0"/>
    <w:rsid w:val="004254D9"/>
    <w:rsid w:val="00426FC7"/>
    <w:rsid w:val="0043080E"/>
    <w:rsid w:val="004333ED"/>
    <w:rsid w:val="00440978"/>
    <w:rsid w:val="00450701"/>
    <w:rsid w:val="00464E8D"/>
    <w:rsid w:val="00470276"/>
    <w:rsid w:val="004742F6"/>
    <w:rsid w:val="00474A27"/>
    <w:rsid w:val="00481005"/>
    <w:rsid w:val="00482894"/>
    <w:rsid w:val="004B5472"/>
    <w:rsid w:val="004C2940"/>
    <w:rsid w:val="004D14D8"/>
    <w:rsid w:val="004D6FCA"/>
    <w:rsid w:val="005049CD"/>
    <w:rsid w:val="0050662A"/>
    <w:rsid w:val="0050673E"/>
    <w:rsid w:val="00510033"/>
    <w:rsid w:val="005367CF"/>
    <w:rsid w:val="0054130A"/>
    <w:rsid w:val="00547201"/>
    <w:rsid w:val="00553DC7"/>
    <w:rsid w:val="0055774D"/>
    <w:rsid w:val="00557B3C"/>
    <w:rsid w:val="00557C37"/>
    <w:rsid w:val="00560F2D"/>
    <w:rsid w:val="005738ED"/>
    <w:rsid w:val="0058522C"/>
    <w:rsid w:val="00586EBC"/>
    <w:rsid w:val="0059522E"/>
    <w:rsid w:val="005B5E10"/>
    <w:rsid w:val="005C0EF6"/>
    <w:rsid w:val="005C2D88"/>
    <w:rsid w:val="005C7859"/>
    <w:rsid w:val="005D6E3C"/>
    <w:rsid w:val="005D7221"/>
    <w:rsid w:val="005E2848"/>
    <w:rsid w:val="005E2C45"/>
    <w:rsid w:val="005F0DB7"/>
    <w:rsid w:val="005F407C"/>
    <w:rsid w:val="006159DA"/>
    <w:rsid w:val="00623AA8"/>
    <w:rsid w:val="00637163"/>
    <w:rsid w:val="0066207D"/>
    <w:rsid w:val="006629D7"/>
    <w:rsid w:val="0067396F"/>
    <w:rsid w:val="006777A4"/>
    <w:rsid w:val="0068012A"/>
    <w:rsid w:val="00680463"/>
    <w:rsid w:val="00683AA3"/>
    <w:rsid w:val="006941CA"/>
    <w:rsid w:val="0069435F"/>
    <w:rsid w:val="00694F27"/>
    <w:rsid w:val="006956E5"/>
    <w:rsid w:val="00696982"/>
    <w:rsid w:val="006A40BA"/>
    <w:rsid w:val="006C447F"/>
    <w:rsid w:val="006D0B60"/>
    <w:rsid w:val="006D76CB"/>
    <w:rsid w:val="006E2C88"/>
    <w:rsid w:val="006E30E4"/>
    <w:rsid w:val="00710CFA"/>
    <w:rsid w:val="00722C8C"/>
    <w:rsid w:val="007273F1"/>
    <w:rsid w:val="007354DF"/>
    <w:rsid w:val="0074600A"/>
    <w:rsid w:val="00751043"/>
    <w:rsid w:val="0075447C"/>
    <w:rsid w:val="0075796C"/>
    <w:rsid w:val="00762F30"/>
    <w:rsid w:val="00763008"/>
    <w:rsid w:val="00773120"/>
    <w:rsid w:val="00774D31"/>
    <w:rsid w:val="0077622E"/>
    <w:rsid w:val="007874B2"/>
    <w:rsid w:val="00790849"/>
    <w:rsid w:val="007A3A24"/>
    <w:rsid w:val="007A6577"/>
    <w:rsid w:val="007B3FDB"/>
    <w:rsid w:val="007B6632"/>
    <w:rsid w:val="007B7BB8"/>
    <w:rsid w:val="007C3186"/>
    <w:rsid w:val="007C5E5E"/>
    <w:rsid w:val="007D53B6"/>
    <w:rsid w:val="007D58C7"/>
    <w:rsid w:val="00804F79"/>
    <w:rsid w:val="00813556"/>
    <w:rsid w:val="00813CA1"/>
    <w:rsid w:val="00825B81"/>
    <w:rsid w:val="0084220B"/>
    <w:rsid w:val="00854AB5"/>
    <w:rsid w:val="00860A81"/>
    <w:rsid w:val="00873A82"/>
    <w:rsid w:val="00894C92"/>
    <w:rsid w:val="008A5D5F"/>
    <w:rsid w:val="008B0909"/>
    <w:rsid w:val="008C6E2D"/>
    <w:rsid w:val="008C777F"/>
    <w:rsid w:val="008D1309"/>
    <w:rsid w:val="008D38C1"/>
    <w:rsid w:val="008D7C52"/>
    <w:rsid w:val="008D7E8D"/>
    <w:rsid w:val="008E586D"/>
    <w:rsid w:val="008F4736"/>
    <w:rsid w:val="00920601"/>
    <w:rsid w:val="00924459"/>
    <w:rsid w:val="00960708"/>
    <w:rsid w:val="0097688D"/>
    <w:rsid w:val="0098332E"/>
    <w:rsid w:val="009840E4"/>
    <w:rsid w:val="00996007"/>
    <w:rsid w:val="009B21E5"/>
    <w:rsid w:val="009B3071"/>
    <w:rsid w:val="009C2C0B"/>
    <w:rsid w:val="009C4999"/>
    <w:rsid w:val="009C78EE"/>
    <w:rsid w:val="009D2CB7"/>
    <w:rsid w:val="009E339A"/>
    <w:rsid w:val="009E7D25"/>
    <w:rsid w:val="009F1C5C"/>
    <w:rsid w:val="009F50EB"/>
    <w:rsid w:val="00A049D6"/>
    <w:rsid w:val="00A12161"/>
    <w:rsid w:val="00A15E72"/>
    <w:rsid w:val="00A173A6"/>
    <w:rsid w:val="00A2242A"/>
    <w:rsid w:val="00A22B3C"/>
    <w:rsid w:val="00A30699"/>
    <w:rsid w:val="00A30C31"/>
    <w:rsid w:val="00A32AA3"/>
    <w:rsid w:val="00A33822"/>
    <w:rsid w:val="00A45FC0"/>
    <w:rsid w:val="00A609BE"/>
    <w:rsid w:val="00A63036"/>
    <w:rsid w:val="00A72687"/>
    <w:rsid w:val="00A728AD"/>
    <w:rsid w:val="00A81239"/>
    <w:rsid w:val="00A84251"/>
    <w:rsid w:val="00A943B5"/>
    <w:rsid w:val="00AA00A0"/>
    <w:rsid w:val="00AA0804"/>
    <w:rsid w:val="00AA5C84"/>
    <w:rsid w:val="00AA7151"/>
    <w:rsid w:val="00AB7F15"/>
    <w:rsid w:val="00AF378C"/>
    <w:rsid w:val="00AF4935"/>
    <w:rsid w:val="00B16613"/>
    <w:rsid w:val="00B330AB"/>
    <w:rsid w:val="00B36C43"/>
    <w:rsid w:val="00B4047F"/>
    <w:rsid w:val="00B414F1"/>
    <w:rsid w:val="00B41FC1"/>
    <w:rsid w:val="00B55E9A"/>
    <w:rsid w:val="00B72EE9"/>
    <w:rsid w:val="00B76647"/>
    <w:rsid w:val="00B77141"/>
    <w:rsid w:val="00B83BFD"/>
    <w:rsid w:val="00B949C1"/>
    <w:rsid w:val="00BA485D"/>
    <w:rsid w:val="00BB75BF"/>
    <w:rsid w:val="00BC00A6"/>
    <w:rsid w:val="00BC558B"/>
    <w:rsid w:val="00BC5F8F"/>
    <w:rsid w:val="00BC72F8"/>
    <w:rsid w:val="00BD0CDC"/>
    <w:rsid w:val="00BE4108"/>
    <w:rsid w:val="00BF092C"/>
    <w:rsid w:val="00C028C6"/>
    <w:rsid w:val="00C11E31"/>
    <w:rsid w:val="00C23508"/>
    <w:rsid w:val="00C23BDE"/>
    <w:rsid w:val="00C33471"/>
    <w:rsid w:val="00C35561"/>
    <w:rsid w:val="00C56ED6"/>
    <w:rsid w:val="00C631D8"/>
    <w:rsid w:val="00C642C5"/>
    <w:rsid w:val="00C837A5"/>
    <w:rsid w:val="00C97447"/>
    <w:rsid w:val="00CC07F0"/>
    <w:rsid w:val="00CC28AD"/>
    <w:rsid w:val="00CD3B1B"/>
    <w:rsid w:val="00CE17E9"/>
    <w:rsid w:val="00CF13CB"/>
    <w:rsid w:val="00CF6D85"/>
    <w:rsid w:val="00D03BCB"/>
    <w:rsid w:val="00D03ECA"/>
    <w:rsid w:val="00D05E37"/>
    <w:rsid w:val="00D1355F"/>
    <w:rsid w:val="00D1659F"/>
    <w:rsid w:val="00D33D1A"/>
    <w:rsid w:val="00D35FFB"/>
    <w:rsid w:val="00D42765"/>
    <w:rsid w:val="00D51336"/>
    <w:rsid w:val="00D52B0A"/>
    <w:rsid w:val="00D551AE"/>
    <w:rsid w:val="00D71F5A"/>
    <w:rsid w:val="00D72256"/>
    <w:rsid w:val="00D745AC"/>
    <w:rsid w:val="00D7586A"/>
    <w:rsid w:val="00D75DC5"/>
    <w:rsid w:val="00D82723"/>
    <w:rsid w:val="00D91588"/>
    <w:rsid w:val="00DA19A5"/>
    <w:rsid w:val="00DA3C66"/>
    <w:rsid w:val="00DC2005"/>
    <w:rsid w:val="00DF1C9A"/>
    <w:rsid w:val="00DF3501"/>
    <w:rsid w:val="00E053CC"/>
    <w:rsid w:val="00E0619D"/>
    <w:rsid w:val="00E208CC"/>
    <w:rsid w:val="00E232D4"/>
    <w:rsid w:val="00E43FCB"/>
    <w:rsid w:val="00E50E13"/>
    <w:rsid w:val="00E518EE"/>
    <w:rsid w:val="00E5612D"/>
    <w:rsid w:val="00E72AE3"/>
    <w:rsid w:val="00E8530E"/>
    <w:rsid w:val="00E929AE"/>
    <w:rsid w:val="00E947AC"/>
    <w:rsid w:val="00EA0AEF"/>
    <w:rsid w:val="00EA0B3E"/>
    <w:rsid w:val="00EA2551"/>
    <w:rsid w:val="00EA675A"/>
    <w:rsid w:val="00EA7A7F"/>
    <w:rsid w:val="00EB5908"/>
    <w:rsid w:val="00ED023B"/>
    <w:rsid w:val="00ED139E"/>
    <w:rsid w:val="00ED1EE2"/>
    <w:rsid w:val="00ED7BBE"/>
    <w:rsid w:val="00F01A5D"/>
    <w:rsid w:val="00F03DB5"/>
    <w:rsid w:val="00F13E88"/>
    <w:rsid w:val="00F1761D"/>
    <w:rsid w:val="00F26E89"/>
    <w:rsid w:val="00F310E2"/>
    <w:rsid w:val="00F4403C"/>
    <w:rsid w:val="00F502B6"/>
    <w:rsid w:val="00F52A23"/>
    <w:rsid w:val="00F55959"/>
    <w:rsid w:val="00F57338"/>
    <w:rsid w:val="00F62879"/>
    <w:rsid w:val="00F94C5E"/>
    <w:rsid w:val="00FA7A2D"/>
    <w:rsid w:val="00FC4EAC"/>
    <w:rsid w:val="00FF7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BCB"/>
    <w:pPr>
      <w:spacing w:after="200" w:line="276" w:lineRule="auto"/>
    </w:pPr>
    <w:rPr>
      <w:sz w:val="22"/>
      <w:szCs w:val="22"/>
      <w:lang w:eastAsia="en-US"/>
    </w:rPr>
  </w:style>
  <w:style w:type="paragraph" w:styleId="1">
    <w:name w:val="heading 1"/>
    <w:basedOn w:val="a"/>
    <w:link w:val="10"/>
    <w:uiPriority w:val="9"/>
    <w:qFormat/>
    <w:rsid w:val="00A12161"/>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161"/>
    <w:rPr>
      <w:rFonts w:ascii="Times New Roman" w:eastAsia="Times New Roman" w:hAnsi="Times New Roman"/>
      <w:b/>
      <w:bCs/>
      <w:kern w:val="36"/>
      <w:sz w:val="48"/>
      <w:szCs w:val="48"/>
    </w:rPr>
  </w:style>
  <w:style w:type="paragraph" w:styleId="a3">
    <w:name w:val="Normal (Web)"/>
    <w:basedOn w:val="a"/>
    <w:uiPriority w:val="99"/>
    <w:semiHidden/>
    <w:unhideWhenUsed/>
    <w:rsid w:val="00A12161"/>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A12161"/>
    <w:rPr>
      <w:color w:val="0000FF"/>
      <w:u w:val="single"/>
    </w:rPr>
  </w:style>
  <w:style w:type="character" w:styleId="a5">
    <w:name w:val="Emphasis"/>
    <w:basedOn w:val="a0"/>
    <w:uiPriority w:val="20"/>
    <w:qFormat/>
    <w:rsid w:val="00A12161"/>
    <w:rPr>
      <w:i/>
      <w:iCs/>
    </w:rPr>
  </w:style>
</w:styles>
</file>

<file path=word/webSettings.xml><?xml version="1.0" encoding="utf-8"?>
<w:webSettings xmlns:r="http://schemas.openxmlformats.org/officeDocument/2006/relationships" xmlns:w="http://schemas.openxmlformats.org/wordprocessingml/2006/main">
  <w:divs>
    <w:div w:id="1087003062">
      <w:bodyDiv w:val="1"/>
      <w:marLeft w:val="0"/>
      <w:marRight w:val="0"/>
      <w:marTop w:val="0"/>
      <w:marBottom w:val="0"/>
      <w:divBdr>
        <w:top w:val="none" w:sz="0" w:space="0" w:color="auto"/>
        <w:left w:val="none" w:sz="0" w:space="0" w:color="auto"/>
        <w:bottom w:val="none" w:sz="0" w:space="0" w:color="auto"/>
        <w:right w:val="none" w:sz="0" w:space="0" w:color="auto"/>
      </w:divBdr>
      <w:divsChild>
        <w:div w:id="1562517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d.ru/common/img/uploaded/files/news/cafiles/dadf584ffb5d43a886c349e8a49fd9f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573</Words>
  <Characters>3270</Characters>
  <Application>Microsoft Office Word</Application>
  <DocSecurity>0</DocSecurity>
  <Lines>27</Lines>
  <Paragraphs>7</Paragraphs>
  <ScaleCrop>false</ScaleCrop>
  <Company>BankSGB</Company>
  <LinksUpToDate>false</LinksUpToDate>
  <CharactersWithSpaces>3836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rsa</dc:creator>
  <cp:lastModifiedBy>rsa</cp:lastModifiedBy>
  <cp:revision>1</cp:revision>
  <dcterms:created xsi:type="dcterms:W3CDTF">2025-05-23T10:03:00Z</dcterms:created>
  <dcterms:modified xsi:type="dcterms:W3CDTF">2025-05-23T10:05:00Z</dcterms:modified>
</cp:coreProperties>
</file>