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6B" w:rsidRPr="00EC4B6B" w:rsidRDefault="00EC4B6B" w:rsidP="00EC4B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4B6B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C4B6B" w:rsidRPr="00EC4B6B" w:rsidTr="00EC4B6B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108980346</w:t>
            </w:r>
          </w:p>
        </w:tc>
        <w:tc>
          <w:tcPr>
            <w:tcW w:w="0" w:type="auto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B6B" w:rsidRPr="00EC4B6B" w:rsidTr="00EC4B6B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B6B" w:rsidRPr="00EC4B6B" w:rsidTr="00EC4B6B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B6B" w:rsidRPr="00EC4B6B" w:rsidTr="00EC4B6B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C4B6B" w:rsidRPr="00EC4B6B" w:rsidRDefault="00EC4B6B" w:rsidP="00EC4B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C4B6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56"/>
        <w:gridCol w:w="1707"/>
        <w:gridCol w:w="1788"/>
        <w:gridCol w:w="421"/>
        <w:gridCol w:w="421"/>
        <w:gridCol w:w="421"/>
        <w:gridCol w:w="695"/>
        <w:gridCol w:w="683"/>
        <w:gridCol w:w="1789"/>
        <w:gridCol w:w="646"/>
        <w:gridCol w:w="646"/>
        <w:gridCol w:w="28"/>
      </w:tblGrid>
      <w:tr w:rsidR="00EC4B6B" w:rsidRPr="00EC4B6B" w:rsidTr="00EC4B6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C4B6B" w:rsidRPr="00EC4B6B" w:rsidTr="00EC4B6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1042821</w:t>
            </w:r>
          </w:p>
        </w:tc>
      </w:tr>
      <w:tr w:rsidR="00EC4B6B" w:rsidRPr="00EC4B6B" w:rsidTr="00EC4B6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EC4B6B" w:rsidRPr="00EC4B6B" w:rsidTr="00EC4B6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EC4B6B" w:rsidRPr="00EC4B6B" w:rsidTr="00EC4B6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 июня 2025 г. </w:t>
            </w:r>
          </w:p>
        </w:tc>
      </w:tr>
      <w:tr w:rsidR="00EC4B6B" w:rsidRPr="00EC4B6B" w:rsidTr="00EC4B6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EC4B6B" w:rsidRPr="00EC4B6B" w:rsidTr="00EC4B6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EC4B6B" w:rsidRPr="00EC4B6B" w:rsidTr="00EC4B6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C4B6B" w:rsidRPr="00EC4B6B" w:rsidTr="00EC4B6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B6B" w:rsidRPr="00EC4B6B" w:rsidTr="00EC4B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1042821X4418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B6B" w:rsidRPr="00EC4B6B" w:rsidTr="00EC4B6B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C4B6B" w:rsidRPr="00EC4B6B" w:rsidTr="00EC4B6B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C4B6B" w:rsidRPr="00EC4B6B" w:rsidTr="00EC4B6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B6B" w:rsidRPr="00EC4B6B" w:rsidTr="00EC4B6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C4B6B" w:rsidRPr="00EC4B6B" w:rsidTr="00EC4B6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20:00 МСК</w:t>
            </w:r>
          </w:p>
        </w:tc>
      </w:tr>
      <w:tr w:rsidR="00EC4B6B" w:rsidRPr="00EC4B6B" w:rsidTr="00EC4B6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 июня 2025 г. </w:t>
            </w:r>
          </w:p>
        </w:tc>
      </w:tr>
      <w:tr w:rsidR="00EC4B6B" w:rsidRPr="00EC4B6B" w:rsidTr="00EC4B6B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C4B6B" w:rsidRPr="00EC4B6B" w:rsidTr="00EC4B6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C4B6B" w:rsidRPr="00EC4B6B" w:rsidTr="00EC4B6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C4B6B" w:rsidRPr="00EC4B6B" w:rsidTr="00EC4B6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190121, г. Санкт - Петербург, ул. Почтамтская, д</w:t>
            </w: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 3-5</w:t>
            </w:r>
          </w:p>
        </w:tc>
      </w:tr>
      <w:tr w:rsidR="00EC4B6B" w:rsidRPr="00EC4B6B" w:rsidTr="00EC4B6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C4B6B" w:rsidRPr="00EC4B6B" w:rsidRDefault="00EC4B6B" w:rsidP="00EC4B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https://lk.draga.ru</w:t>
            </w:r>
          </w:p>
        </w:tc>
      </w:tr>
    </w:tbl>
    <w:p w:rsidR="00EC4B6B" w:rsidRPr="00EC4B6B" w:rsidRDefault="00EC4B6B" w:rsidP="00EC4B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4B6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EC4B6B">
        <w:rPr>
          <w:rFonts w:ascii="Times New Roman" w:eastAsia="Times New Roman" w:hAnsi="Times New Roman"/>
          <w:sz w:val="20"/>
          <w:szCs w:val="20"/>
          <w:lang w:eastAsia="ru-RU"/>
        </w:rPr>
        <w:t>1. Утверждение годового отчета ПАО «Газпром нефть» за 2024 год.</w:t>
      </w:r>
      <w:r w:rsidRPr="00EC4B6B">
        <w:rPr>
          <w:rFonts w:ascii="Times New Roman" w:eastAsia="Times New Roman" w:hAnsi="Times New Roman"/>
          <w:sz w:val="20"/>
          <w:szCs w:val="20"/>
          <w:lang w:eastAsia="ru-RU"/>
        </w:rPr>
        <w:br/>
        <w:t>2. Утверждение годовой бухгалтерской (финансовой) отчетности ПАО «Газпром нефть» за 2024 год.</w:t>
      </w:r>
      <w:r w:rsidRPr="00EC4B6B">
        <w:rPr>
          <w:rFonts w:ascii="Times New Roman" w:eastAsia="Times New Roman" w:hAnsi="Times New Roman"/>
          <w:sz w:val="20"/>
          <w:szCs w:val="20"/>
          <w:lang w:eastAsia="ru-RU"/>
        </w:rPr>
        <w:br/>
        <w:t>3. О распределении прибыли ПАО «Газпром нефть» за 2024 год.</w:t>
      </w:r>
      <w:r w:rsidRPr="00EC4B6B">
        <w:rPr>
          <w:rFonts w:ascii="Times New Roman" w:eastAsia="Times New Roman" w:hAnsi="Times New Roman"/>
          <w:sz w:val="20"/>
          <w:szCs w:val="20"/>
          <w:lang w:eastAsia="ru-RU"/>
        </w:rPr>
        <w:br/>
        <w:t>4. О размере дивидендов, форме и сроках их выплаты, а также о дате, на которую определяются лица, имеющие право на получение дивидендов по результатам 2024 года.</w:t>
      </w:r>
      <w:r w:rsidRPr="00EC4B6B">
        <w:rPr>
          <w:rFonts w:ascii="Times New Roman" w:eastAsia="Times New Roman" w:hAnsi="Times New Roman"/>
          <w:sz w:val="20"/>
          <w:szCs w:val="20"/>
          <w:lang w:eastAsia="ru-RU"/>
        </w:rPr>
        <w:br/>
        <w:t>5. Избрание членов Совета директоров ПАО «Газпром нефть».</w:t>
      </w:r>
      <w:r w:rsidRPr="00EC4B6B">
        <w:rPr>
          <w:rFonts w:ascii="Times New Roman" w:eastAsia="Times New Roman" w:hAnsi="Times New Roman"/>
          <w:sz w:val="20"/>
          <w:szCs w:val="20"/>
          <w:lang w:eastAsia="ru-RU"/>
        </w:rPr>
        <w:br/>
        <w:t>6. Назначение аудиторской организации ПАО «Газпром нефть» на 2025 год.</w:t>
      </w:r>
      <w:r w:rsidRPr="00EC4B6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О вознаграждении членов Совета директоров ПАО «Газпром нефть». </w:t>
      </w:r>
    </w:p>
    <w:p w:rsidR="00EC4B6B" w:rsidRDefault="00EC4B6B" w:rsidP="00EC4B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4B6B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EC4B6B" w:rsidRPr="008B38A6" w:rsidRDefault="00EC4B6B" w:rsidP="00EC4B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51A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C4B6B" w:rsidRPr="00D051A7" w:rsidRDefault="00EC4B6B" w:rsidP="00EC4B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4B6B" w:rsidRPr="00EC4B6B" w:rsidRDefault="00EC4B6B" w:rsidP="00EC4B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C4B6B" w:rsidRPr="00EC4B6B" w:rsidSect="00EC4B6B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4B6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4DA2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4B6B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C4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C4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B6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C4B6B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C4B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C4B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4B6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C4B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2025-05-26T14:16:00Z</dcterms:created>
  <dcterms:modified xsi:type="dcterms:W3CDTF">2025-05-26T14:19:00Z</dcterms:modified>
</cp:coreProperties>
</file>