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A9" w:rsidRPr="00BC61A9" w:rsidRDefault="00BC61A9" w:rsidP="00BC61A9">
      <w:pPr>
        <w:pStyle w:val="a7"/>
        <w:rPr>
          <w:rFonts w:ascii="Times New Roman" w:hAnsi="Times New Roman"/>
          <w:sz w:val="20"/>
          <w:szCs w:val="20"/>
          <w:lang w:eastAsia="ru-RU"/>
        </w:rPr>
      </w:pPr>
      <w:r w:rsidRPr="00BC61A9">
        <w:rPr>
          <w:lang w:eastAsia="ru-RU"/>
        </w:rPr>
        <w:t xml:space="preserve"> </w:t>
      </w:r>
      <w:r w:rsidRPr="00BC61A9">
        <w:rPr>
          <w:rFonts w:ascii="Times New Roman" w:hAnsi="Times New Roman"/>
          <w:sz w:val="20"/>
          <w:szCs w:val="20"/>
          <w:lang w:eastAsia="ru-RU"/>
        </w:rPr>
        <w:t>Информация из бюллетеня</w:t>
      </w:r>
    </w:p>
    <w:tbl>
      <w:tblPr>
        <w:tblW w:w="5000" w:type="pct"/>
        <w:tblCellSpacing w:w="7" w:type="dxa"/>
        <w:tblCellMar>
          <w:left w:w="0" w:type="dxa"/>
          <w:right w:w="0" w:type="dxa"/>
        </w:tblCellMar>
        <w:tblLook w:val="04A0"/>
      </w:tblPr>
      <w:tblGrid>
        <w:gridCol w:w="5922"/>
        <w:gridCol w:w="5266"/>
        <w:gridCol w:w="38"/>
      </w:tblGrid>
      <w:tr w:rsidR="00BC61A9" w:rsidRPr="00BC61A9" w:rsidTr="00BC61A9">
        <w:trPr>
          <w:tblCellSpacing w:w="7" w:type="dxa"/>
        </w:trPr>
        <w:tc>
          <w:tcPr>
            <w:tcW w:w="0" w:type="auto"/>
            <w:vAlign w:val="center"/>
            <w:hideMark/>
          </w:tcPr>
          <w:p w:rsidR="00BC61A9" w:rsidRPr="00BC61A9" w:rsidRDefault="00BC61A9" w:rsidP="00BC61A9">
            <w:pPr>
              <w:pStyle w:val="a7"/>
              <w:rPr>
                <w:rFonts w:ascii="Times New Roman" w:hAnsi="Times New Roman"/>
                <w:sz w:val="20"/>
                <w:szCs w:val="20"/>
                <w:lang w:eastAsia="ru-RU"/>
              </w:rPr>
            </w:pPr>
            <w:r w:rsidRPr="00BC61A9">
              <w:rPr>
                <w:rFonts w:ascii="Times New Roman" w:hAnsi="Times New Roman"/>
                <w:sz w:val="20"/>
                <w:szCs w:val="20"/>
                <w:lang w:eastAsia="ru-RU"/>
              </w:rPr>
              <w:t>Сообщение</w:t>
            </w:r>
          </w:p>
        </w:tc>
        <w:tc>
          <w:tcPr>
            <w:tcW w:w="0" w:type="auto"/>
            <w:vAlign w:val="center"/>
            <w:hideMark/>
          </w:tcPr>
          <w:p w:rsidR="00BC61A9" w:rsidRPr="00BC61A9" w:rsidRDefault="00BC61A9" w:rsidP="00BC61A9">
            <w:pPr>
              <w:pStyle w:val="a7"/>
              <w:rPr>
                <w:rFonts w:ascii="Times New Roman" w:hAnsi="Times New Roman"/>
                <w:sz w:val="20"/>
                <w:szCs w:val="20"/>
                <w:lang w:eastAsia="ru-RU"/>
              </w:rPr>
            </w:pPr>
            <w:r w:rsidRPr="00BC61A9">
              <w:rPr>
                <w:rFonts w:ascii="Times New Roman" w:hAnsi="Times New Roman"/>
                <w:sz w:val="20"/>
                <w:szCs w:val="20"/>
                <w:lang w:eastAsia="ru-RU"/>
              </w:rPr>
              <w:t>№ 109642344</w:t>
            </w:r>
          </w:p>
        </w:tc>
        <w:tc>
          <w:tcPr>
            <w:tcW w:w="0" w:type="auto"/>
            <w:vAlign w:val="center"/>
            <w:hideMark/>
          </w:tcPr>
          <w:p w:rsidR="00BC61A9" w:rsidRPr="00BC61A9" w:rsidRDefault="00BC61A9" w:rsidP="00BC61A9">
            <w:pPr>
              <w:pStyle w:val="a7"/>
              <w:rPr>
                <w:rFonts w:ascii="Times New Roman" w:hAnsi="Times New Roman"/>
                <w:sz w:val="20"/>
                <w:szCs w:val="20"/>
                <w:lang w:eastAsia="ru-RU"/>
              </w:rPr>
            </w:pPr>
          </w:p>
        </w:tc>
      </w:tr>
      <w:tr w:rsidR="00BC61A9" w:rsidRPr="00BC61A9" w:rsidTr="00BC61A9">
        <w:trPr>
          <w:tblCellSpacing w:w="7" w:type="dxa"/>
        </w:trPr>
        <w:tc>
          <w:tcPr>
            <w:tcW w:w="0" w:type="auto"/>
            <w:vAlign w:val="center"/>
            <w:hideMark/>
          </w:tcPr>
          <w:p w:rsidR="00BC61A9" w:rsidRPr="00BC61A9" w:rsidRDefault="00BC61A9" w:rsidP="00BC61A9">
            <w:pPr>
              <w:pStyle w:val="a7"/>
              <w:rPr>
                <w:rFonts w:ascii="Times New Roman" w:hAnsi="Times New Roman"/>
                <w:sz w:val="20"/>
                <w:szCs w:val="20"/>
                <w:lang w:eastAsia="ru-RU"/>
              </w:rPr>
            </w:pPr>
            <w:r w:rsidRPr="00BC61A9">
              <w:rPr>
                <w:rFonts w:ascii="Times New Roman" w:hAnsi="Times New Roman"/>
                <w:sz w:val="20"/>
                <w:szCs w:val="20"/>
                <w:lang w:eastAsia="ru-RU"/>
              </w:rPr>
              <w:t>Функция сообщения:</w:t>
            </w:r>
          </w:p>
        </w:tc>
        <w:tc>
          <w:tcPr>
            <w:tcW w:w="0" w:type="auto"/>
            <w:vAlign w:val="center"/>
            <w:hideMark/>
          </w:tcPr>
          <w:p w:rsidR="00BC61A9" w:rsidRPr="00BC61A9" w:rsidRDefault="00BC61A9" w:rsidP="00BC61A9">
            <w:pPr>
              <w:pStyle w:val="a7"/>
              <w:rPr>
                <w:rFonts w:ascii="Times New Roman" w:hAnsi="Times New Roman"/>
                <w:sz w:val="20"/>
                <w:szCs w:val="20"/>
                <w:lang w:eastAsia="ru-RU"/>
              </w:rPr>
            </w:pPr>
            <w:r w:rsidRPr="00BC61A9">
              <w:rPr>
                <w:rFonts w:ascii="Times New Roman" w:hAnsi="Times New Roman"/>
                <w:sz w:val="20"/>
                <w:szCs w:val="20"/>
                <w:lang w:eastAsia="ru-RU"/>
              </w:rPr>
              <w:t>Повторное сообщение</w:t>
            </w:r>
          </w:p>
        </w:tc>
        <w:tc>
          <w:tcPr>
            <w:tcW w:w="0" w:type="auto"/>
            <w:vAlign w:val="center"/>
            <w:hideMark/>
          </w:tcPr>
          <w:p w:rsidR="00BC61A9" w:rsidRPr="00BC61A9" w:rsidRDefault="00BC61A9" w:rsidP="00BC61A9">
            <w:pPr>
              <w:pStyle w:val="a7"/>
              <w:rPr>
                <w:rFonts w:ascii="Times New Roman" w:hAnsi="Times New Roman"/>
                <w:sz w:val="20"/>
                <w:szCs w:val="20"/>
                <w:lang w:eastAsia="ru-RU"/>
              </w:rPr>
            </w:pPr>
          </w:p>
        </w:tc>
      </w:tr>
      <w:tr w:rsidR="00BC61A9" w:rsidRPr="00BC61A9" w:rsidTr="00BC61A9">
        <w:trPr>
          <w:tblCellSpacing w:w="7" w:type="dxa"/>
        </w:trPr>
        <w:tc>
          <w:tcPr>
            <w:tcW w:w="0" w:type="auto"/>
            <w:vAlign w:val="center"/>
            <w:hideMark/>
          </w:tcPr>
          <w:p w:rsidR="00BC61A9" w:rsidRPr="00BC61A9" w:rsidRDefault="00BC61A9" w:rsidP="00BC61A9">
            <w:pPr>
              <w:pStyle w:val="a7"/>
              <w:rPr>
                <w:rFonts w:ascii="Times New Roman" w:hAnsi="Times New Roman"/>
                <w:sz w:val="20"/>
                <w:szCs w:val="20"/>
                <w:lang w:eastAsia="ru-RU"/>
              </w:rPr>
            </w:pPr>
            <w:r w:rsidRPr="00BC61A9">
              <w:rPr>
                <w:rFonts w:ascii="Times New Roman" w:hAnsi="Times New Roman"/>
                <w:sz w:val="20"/>
                <w:szCs w:val="20"/>
                <w:lang w:eastAsia="ru-RU"/>
              </w:rPr>
              <w:t>Предыдущее сообщение:</w:t>
            </w:r>
          </w:p>
        </w:tc>
        <w:tc>
          <w:tcPr>
            <w:tcW w:w="0" w:type="auto"/>
            <w:vAlign w:val="center"/>
            <w:hideMark/>
          </w:tcPr>
          <w:p w:rsidR="00BC61A9" w:rsidRPr="00BC61A9" w:rsidRDefault="00BC61A9" w:rsidP="00BC61A9">
            <w:pPr>
              <w:pStyle w:val="a7"/>
              <w:rPr>
                <w:rFonts w:ascii="Times New Roman" w:hAnsi="Times New Roman"/>
                <w:sz w:val="20"/>
                <w:szCs w:val="20"/>
                <w:lang w:eastAsia="ru-RU"/>
              </w:rPr>
            </w:pPr>
            <w:r w:rsidRPr="00BC61A9">
              <w:rPr>
                <w:rFonts w:ascii="Times New Roman" w:hAnsi="Times New Roman"/>
                <w:sz w:val="20"/>
                <w:szCs w:val="20"/>
                <w:lang w:eastAsia="ru-RU"/>
              </w:rPr>
              <w:t>№ 109496524</w:t>
            </w:r>
          </w:p>
        </w:tc>
        <w:tc>
          <w:tcPr>
            <w:tcW w:w="0" w:type="auto"/>
            <w:vAlign w:val="center"/>
            <w:hideMark/>
          </w:tcPr>
          <w:p w:rsidR="00BC61A9" w:rsidRPr="00BC61A9" w:rsidRDefault="00BC61A9" w:rsidP="00BC61A9">
            <w:pPr>
              <w:pStyle w:val="a7"/>
              <w:rPr>
                <w:rFonts w:ascii="Times New Roman" w:hAnsi="Times New Roman"/>
                <w:sz w:val="20"/>
                <w:szCs w:val="20"/>
                <w:lang w:eastAsia="ru-RU"/>
              </w:rPr>
            </w:pPr>
          </w:p>
        </w:tc>
      </w:tr>
      <w:tr w:rsidR="00BC61A9" w:rsidRPr="00BC61A9" w:rsidTr="00BC61A9">
        <w:trPr>
          <w:tblCellSpacing w:w="7" w:type="dxa"/>
        </w:trPr>
        <w:tc>
          <w:tcPr>
            <w:tcW w:w="0" w:type="auto"/>
            <w:vAlign w:val="center"/>
            <w:hideMark/>
          </w:tcPr>
          <w:p w:rsidR="00BC61A9" w:rsidRPr="00BC61A9" w:rsidRDefault="00BC61A9" w:rsidP="00BC61A9">
            <w:pPr>
              <w:pStyle w:val="a7"/>
              <w:rPr>
                <w:rFonts w:ascii="Times New Roman" w:hAnsi="Times New Roman"/>
                <w:sz w:val="20"/>
                <w:szCs w:val="20"/>
                <w:lang w:eastAsia="ru-RU"/>
              </w:rPr>
            </w:pPr>
          </w:p>
        </w:tc>
        <w:tc>
          <w:tcPr>
            <w:tcW w:w="0" w:type="auto"/>
            <w:vAlign w:val="center"/>
            <w:hideMark/>
          </w:tcPr>
          <w:p w:rsidR="00BC61A9" w:rsidRPr="00BC61A9" w:rsidRDefault="00BC61A9" w:rsidP="00BC61A9">
            <w:pPr>
              <w:pStyle w:val="a7"/>
              <w:rPr>
                <w:rFonts w:ascii="Times New Roman" w:hAnsi="Times New Roman"/>
                <w:sz w:val="20"/>
                <w:szCs w:val="20"/>
                <w:lang w:eastAsia="ru-RU"/>
              </w:rPr>
            </w:pPr>
          </w:p>
        </w:tc>
        <w:tc>
          <w:tcPr>
            <w:tcW w:w="0" w:type="auto"/>
            <w:vAlign w:val="center"/>
            <w:hideMark/>
          </w:tcPr>
          <w:p w:rsidR="00BC61A9" w:rsidRPr="00BC61A9" w:rsidRDefault="00BC61A9" w:rsidP="00BC61A9">
            <w:pPr>
              <w:pStyle w:val="a7"/>
              <w:rPr>
                <w:rFonts w:ascii="Times New Roman" w:hAnsi="Times New Roman"/>
                <w:sz w:val="20"/>
                <w:szCs w:val="20"/>
                <w:lang w:eastAsia="ru-RU"/>
              </w:rPr>
            </w:pPr>
          </w:p>
        </w:tc>
      </w:tr>
      <w:tr w:rsidR="00BC61A9" w:rsidRPr="00BC61A9" w:rsidTr="00BC61A9">
        <w:trPr>
          <w:tblCellSpacing w:w="7" w:type="dxa"/>
        </w:trPr>
        <w:tc>
          <w:tcPr>
            <w:tcW w:w="0" w:type="auto"/>
            <w:vAlign w:val="center"/>
            <w:hideMark/>
          </w:tcPr>
          <w:p w:rsidR="00BC61A9" w:rsidRPr="00BC61A9" w:rsidRDefault="00BC61A9" w:rsidP="00BC61A9">
            <w:pPr>
              <w:pStyle w:val="a7"/>
              <w:rPr>
                <w:rFonts w:ascii="Times New Roman" w:hAnsi="Times New Roman"/>
                <w:sz w:val="20"/>
                <w:szCs w:val="20"/>
                <w:lang w:eastAsia="ru-RU"/>
              </w:rPr>
            </w:pPr>
          </w:p>
        </w:tc>
        <w:tc>
          <w:tcPr>
            <w:tcW w:w="0" w:type="auto"/>
            <w:vAlign w:val="center"/>
            <w:hideMark/>
          </w:tcPr>
          <w:p w:rsidR="00BC61A9" w:rsidRPr="00BC61A9" w:rsidRDefault="00BC61A9" w:rsidP="00BC61A9">
            <w:pPr>
              <w:pStyle w:val="a7"/>
              <w:rPr>
                <w:rFonts w:ascii="Times New Roman" w:hAnsi="Times New Roman"/>
                <w:sz w:val="20"/>
                <w:szCs w:val="20"/>
                <w:lang w:eastAsia="ru-RU"/>
              </w:rPr>
            </w:pPr>
          </w:p>
        </w:tc>
        <w:tc>
          <w:tcPr>
            <w:tcW w:w="0" w:type="auto"/>
            <w:vAlign w:val="center"/>
            <w:hideMark/>
          </w:tcPr>
          <w:p w:rsidR="00BC61A9" w:rsidRPr="00BC61A9" w:rsidRDefault="00BC61A9" w:rsidP="00BC61A9">
            <w:pPr>
              <w:pStyle w:val="a7"/>
              <w:rPr>
                <w:rFonts w:ascii="Times New Roman" w:hAnsi="Times New Roman"/>
                <w:sz w:val="20"/>
                <w:szCs w:val="20"/>
                <w:lang w:eastAsia="ru-RU"/>
              </w:rPr>
            </w:pPr>
          </w:p>
        </w:tc>
      </w:tr>
    </w:tbl>
    <w:p w:rsidR="00BC61A9" w:rsidRPr="00BC61A9" w:rsidRDefault="00BC61A9" w:rsidP="00BC61A9">
      <w:pPr>
        <w:pStyle w:val="a7"/>
        <w:rPr>
          <w:rFonts w:ascii="Times New Roman" w:hAnsi="Times New Roman"/>
          <w:b/>
          <w:bCs/>
          <w:kern w:val="36"/>
          <w:sz w:val="20"/>
          <w:szCs w:val="20"/>
          <w:lang w:eastAsia="ru-RU"/>
        </w:rPr>
      </w:pPr>
      <w:r w:rsidRPr="00BC61A9">
        <w:rPr>
          <w:rFonts w:ascii="Times New Roman" w:hAnsi="Times New Roman"/>
          <w:b/>
          <w:bCs/>
          <w:kern w:val="36"/>
          <w:sz w:val="20"/>
          <w:szCs w:val="20"/>
          <w:lang w:eastAsia="ru-RU"/>
        </w:rPr>
        <w:t>(MEET) О корпоративном действии "Годовое заседание общего собрания акционеров" с ценными бумагами эмитента ПАО "КАМАЗ" ИНН 1650032058 (акция 1-08-55010-D / ISIN RU0008959580)</w:t>
      </w:r>
    </w:p>
    <w:tbl>
      <w:tblPr>
        <w:tblW w:w="5000" w:type="pct"/>
        <w:tblCellSpacing w:w="7" w:type="dxa"/>
        <w:tblCellMar>
          <w:left w:w="0" w:type="dxa"/>
          <w:right w:w="0" w:type="dxa"/>
        </w:tblCellMar>
        <w:tblLook w:val="04A0"/>
      </w:tblPr>
      <w:tblGrid>
        <w:gridCol w:w="1585"/>
        <w:gridCol w:w="1649"/>
        <w:gridCol w:w="905"/>
        <w:gridCol w:w="905"/>
        <w:gridCol w:w="640"/>
        <w:gridCol w:w="640"/>
        <w:gridCol w:w="704"/>
        <w:gridCol w:w="684"/>
        <w:gridCol w:w="2193"/>
        <w:gridCol w:w="646"/>
        <w:gridCol w:w="646"/>
        <w:gridCol w:w="29"/>
      </w:tblGrid>
      <w:tr w:rsidR="00BC61A9" w:rsidRPr="00BC61A9" w:rsidTr="00BC61A9">
        <w:trPr>
          <w:tblHeader/>
          <w:tblCellSpacing w:w="7" w:type="dxa"/>
        </w:trPr>
        <w:tc>
          <w:tcPr>
            <w:tcW w:w="0" w:type="auto"/>
            <w:gridSpan w:val="1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Реквизиты корпоративного действия</w:t>
            </w:r>
          </w:p>
        </w:tc>
      </w:tr>
      <w:tr w:rsidR="00BC61A9" w:rsidRPr="00BC61A9" w:rsidTr="00BC61A9">
        <w:trPr>
          <w:tblCellSpacing w:w="7" w:type="dxa"/>
        </w:trPr>
        <w:tc>
          <w:tcPr>
            <w:tcW w:w="0" w:type="auto"/>
            <w:gridSpan w:val="3"/>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BC61A9" w:rsidRPr="00BC61A9" w:rsidRDefault="00BC61A9" w:rsidP="00BC61A9">
            <w:pPr>
              <w:wordWrap w:val="0"/>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1042515</w:t>
            </w:r>
          </w:p>
        </w:tc>
      </w:tr>
      <w:tr w:rsidR="00BC61A9" w:rsidRPr="00BC61A9" w:rsidTr="00BC61A9">
        <w:trPr>
          <w:tblCellSpacing w:w="7" w:type="dxa"/>
        </w:trPr>
        <w:tc>
          <w:tcPr>
            <w:tcW w:w="0" w:type="auto"/>
            <w:gridSpan w:val="3"/>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BC61A9" w:rsidRPr="00BC61A9" w:rsidRDefault="00BC61A9" w:rsidP="00BC61A9">
            <w:pPr>
              <w:wordWrap w:val="0"/>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MEET</w:t>
            </w:r>
          </w:p>
        </w:tc>
      </w:tr>
      <w:tr w:rsidR="00BC61A9" w:rsidRPr="00BC61A9" w:rsidTr="00BC61A9">
        <w:trPr>
          <w:tblCellSpacing w:w="7" w:type="dxa"/>
        </w:trPr>
        <w:tc>
          <w:tcPr>
            <w:tcW w:w="0" w:type="auto"/>
            <w:gridSpan w:val="3"/>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BC61A9" w:rsidRPr="00BC61A9" w:rsidRDefault="00BC61A9" w:rsidP="00BC61A9">
            <w:pPr>
              <w:wordWrap w:val="0"/>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Годовое заседание общего собрания акционеров</w:t>
            </w:r>
          </w:p>
        </w:tc>
      </w:tr>
      <w:tr w:rsidR="00BC61A9" w:rsidRPr="00BC61A9" w:rsidTr="00BC61A9">
        <w:trPr>
          <w:tblCellSpacing w:w="7" w:type="dxa"/>
        </w:trPr>
        <w:tc>
          <w:tcPr>
            <w:tcW w:w="0" w:type="auto"/>
            <w:gridSpan w:val="3"/>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27 июня 2025 г. 14:00 МСК</w:t>
            </w:r>
          </w:p>
        </w:tc>
      </w:tr>
      <w:tr w:rsidR="00BC61A9" w:rsidRPr="00BC61A9" w:rsidTr="00BC61A9">
        <w:trPr>
          <w:tblCellSpacing w:w="7" w:type="dxa"/>
        </w:trPr>
        <w:tc>
          <w:tcPr>
            <w:tcW w:w="0" w:type="auto"/>
            <w:gridSpan w:val="3"/>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03 июня 2025 г.</w:t>
            </w:r>
          </w:p>
        </w:tc>
      </w:tr>
      <w:tr w:rsidR="00BC61A9" w:rsidRPr="00BC61A9" w:rsidTr="00BC61A9">
        <w:trPr>
          <w:tblCellSpacing w:w="7" w:type="dxa"/>
        </w:trPr>
        <w:tc>
          <w:tcPr>
            <w:tcW w:w="0" w:type="auto"/>
            <w:gridSpan w:val="3"/>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BC61A9" w:rsidRPr="00BC61A9" w:rsidRDefault="00BC61A9" w:rsidP="00BC61A9">
            <w:pPr>
              <w:wordWrap w:val="0"/>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Заседание</w:t>
            </w:r>
          </w:p>
        </w:tc>
      </w:tr>
      <w:tr w:rsidR="00BC61A9" w:rsidRPr="00BC61A9" w:rsidTr="00BC61A9">
        <w:trPr>
          <w:tblCellSpacing w:w="7" w:type="dxa"/>
        </w:trPr>
        <w:tc>
          <w:tcPr>
            <w:tcW w:w="0" w:type="auto"/>
            <w:gridSpan w:val="3"/>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Место проведения заседания</w:t>
            </w:r>
          </w:p>
        </w:tc>
        <w:tc>
          <w:tcPr>
            <w:tcW w:w="0" w:type="auto"/>
            <w:gridSpan w:val="9"/>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город Набережные Челны, проспект Чулман, 77 (Русский драматический теа</w:t>
            </w:r>
            <w:r w:rsidRPr="00BC61A9">
              <w:rPr>
                <w:rFonts w:ascii="Times New Roman" w:eastAsia="Times New Roman" w:hAnsi="Times New Roman"/>
                <w:sz w:val="20"/>
                <w:szCs w:val="20"/>
                <w:lang w:eastAsia="ru-RU"/>
              </w:rPr>
              <w:br/>
              <w:t>тр «Мастеровые»).</w:t>
            </w:r>
          </w:p>
        </w:tc>
      </w:tr>
      <w:tr w:rsidR="00BC61A9" w:rsidRPr="00BC61A9" w:rsidTr="00BC61A9">
        <w:trPr>
          <w:tblHeader/>
          <w:tblCellSpacing w:w="7" w:type="dxa"/>
        </w:trPr>
        <w:tc>
          <w:tcPr>
            <w:tcW w:w="0" w:type="auto"/>
            <w:gridSpan w:val="1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Информация о ценных бумагах</w:t>
            </w:r>
          </w:p>
        </w:tc>
      </w:tr>
      <w:tr w:rsidR="00BC61A9" w:rsidRPr="00BC61A9" w:rsidTr="00BC61A9">
        <w:trPr>
          <w:tblHeader/>
          <w:tblCellSpacing w:w="7" w:type="dxa"/>
        </w:trPr>
        <w:tc>
          <w:tcPr>
            <w:tcW w:w="0" w:type="auto"/>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Эмитент</w:t>
            </w:r>
          </w:p>
        </w:tc>
        <w:tc>
          <w:tcPr>
            <w:tcW w:w="0" w:type="auto"/>
            <w:gridSpan w:val="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Регистрационный номер</w:t>
            </w:r>
          </w:p>
        </w:tc>
        <w:tc>
          <w:tcPr>
            <w:tcW w:w="0" w:type="auto"/>
            <w:gridSpan w:val="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Дата регистрации</w:t>
            </w:r>
          </w:p>
        </w:tc>
        <w:tc>
          <w:tcPr>
            <w:tcW w:w="0" w:type="auto"/>
            <w:gridSpan w:val="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Категория</w:t>
            </w:r>
          </w:p>
        </w:tc>
        <w:tc>
          <w:tcPr>
            <w:tcW w:w="0" w:type="auto"/>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Депозитарный код выпуска</w:t>
            </w:r>
          </w:p>
        </w:tc>
        <w:tc>
          <w:tcPr>
            <w:tcW w:w="0" w:type="auto"/>
            <w:gridSpan w:val="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ISIN</w:t>
            </w:r>
          </w:p>
        </w:tc>
        <w:tc>
          <w:tcPr>
            <w:tcW w:w="0" w:type="auto"/>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p>
        </w:tc>
      </w:tr>
      <w:tr w:rsidR="00BC61A9" w:rsidRPr="00BC61A9" w:rsidTr="00BC61A9">
        <w:trPr>
          <w:tblCellSpacing w:w="7" w:type="dxa"/>
        </w:trPr>
        <w:tc>
          <w:tcPr>
            <w:tcW w:w="0" w:type="auto"/>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1042515X5247</w:t>
            </w:r>
          </w:p>
        </w:tc>
        <w:tc>
          <w:tcPr>
            <w:tcW w:w="0" w:type="auto"/>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Публичное акционерное общество "КАМАЗ"</w:t>
            </w:r>
          </w:p>
        </w:tc>
        <w:tc>
          <w:tcPr>
            <w:tcW w:w="0" w:type="auto"/>
            <w:gridSpan w:val="2"/>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1-08-55010-D</w:t>
            </w:r>
          </w:p>
        </w:tc>
        <w:tc>
          <w:tcPr>
            <w:tcW w:w="0" w:type="auto"/>
            <w:gridSpan w:val="2"/>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18 ноября 2003 г.</w:t>
            </w:r>
          </w:p>
        </w:tc>
        <w:tc>
          <w:tcPr>
            <w:tcW w:w="0" w:type="auto"/>
            <w:gridSpan w:val="2"/>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 xml:space="preserve">акции обыкновенные </w:t>
            </w:r>
          </w:p>
        </w:tc>
        <w:tc>
          <w:tcPr>
            <w:tcW w:w="0" w:type="auto"/>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RU0008959580</w:t>
            </w:r>
          </w:p>
        </w:tc>
        <w:tc>
          <w:tcPr>
            <w:tcW w:w="0" w:type="auto"/>
            <w:gridSpan w:val="2"/>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RU0008959580</w:t>
            </w:r>
          </w:p>
        </w:tc>
        <w:tc>
          <w:tcPr>
            <w:tcW w:w="0" w:type="auto"/>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p>
        </w:tc>
      </w:tr>
      <w:tr w:rsidR="00BC61A9" w:rsidRPr="00BC61A9" w:rsidTr="00BC61A9">
        <w:trPr>
          <w:gridAfter w:val="2"/>
          <w:tblHeader/>
          <w:tblCellSpacing w:w="7" w:type="dxa"/>
        </w:trPr>
        <w:tc>
          <w:tcPr>
            <w:tcW w:w="0" w:type="auto"/>
            <w:gridSpan w:val="10"/>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Связанные корпоративные действия</w:t>
            </w:r>
          </w:p>
        </w:tc>
      </w:tr>
      <w:tr w:rsidR="00BC61A9" w:rsidRPr="00BC61A9" w:rsidTr="00BC61A9">
        <w:trPr>
          <w:gridAfter w:val="2"/>
          <w:tblHeader/>
          <w:tblCellSpacing w:w="7" w:type="dxa"/>
        </w:trPr>
        <w:tc>
          <w:tcPr>
            <w:tcW w:w="0" w:type="auto"/>
            <w:gridSpan w:val="5"/>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Код типа КД</w:t>
            </w:r>
          </w:p>
        </w:tc>
        <w:tc>
          <w:tcPr>
            <w:tcW w:w="0" w:type="auto"/>
            <w:gridSpan w:val="5"/>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Референс КД</w:t>
            </w:r>
          </w:p>
        </w:tc>
      </w:tr>
      <w:tr w:rsidR="00BC61A9" w:rsidRPr="00BC61A9" w:rsidTr="00BC61A9">
        <w:trPr>
          <w:tblCellSpacing w:w="7" w:type="dxa"/>
        </w:trPr>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INFO</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1042778</w:t>
            </w:r>
          </w:p>
        </w:tc>
        <w:tc>
          <w:tcPr>
            <w:tcW w:w="0" w:type="auto"/>
            <w:gridSpan w:val="2"/>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p>
        </w:tc>
      </w:tr>
      <w:tr w:rsidR="00BC61A9" w:rsidRPr="00BC61A9" w:rsidTr="00BC61A9">
        <w:trPr>
          <w:tblHeader/>
          <w:tblCellSpacing w:w="7" w:type="dxa"/>
        </w:trPr>
        <w:tc>
          <w:tcPr>
            <w:tcW w:w="0" w:type="auto"/>
            <w:gridSpan w:val="1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b/>
                <w:bCs/>
                <w:sz w:val="20"/>
                <w:szCs w:val="20"/>
                <w:lang w:eastAsia="ru-RU"/>
              </w:rPr>
            </w:pPr>
            <w:r w:rsidRPr="00BC61A9">
              <w:rPr>
                <w:rFonts w:ascii="Times New Roman" w:eastAsia="Times New Roman" w:hAnsi="Times New Roman"/>
                <w:b/>
                <w:bCs/>
                <w:sz w:val="20"/>
                <w:szCs w:val="20"/>
                <w:lang w:eastAsia="ru-RU"/>
              </w:rPr>
              <w:t>Голосование</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24 июня 2025 г. 19:59 МСК</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24 июня 2025 г. 23:59 МСК</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CFOR За</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CAGS Против</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ABST Воздержаться</w:t>
            </w:r>
          </w:p>
        </w:tc>
      </w:tr>
      <w:tr w:rsidR="00BC61A9" w:rsidRPr="00BC61A9" w:rsidTr="00BC61A9">
        <w:trPr>
          <w:tblCellSpacing w:w="7" w:type="dxa"/>
        </w:trPr>
        <w:tc>
          <w:tcPr>
            <w:tcW w:w="0" w:type="auto"/>
            <w:gridSpan w:val="12"/>
            <w:shd w:val="clear" w:color="auto" w:fill="BBBBBB"/>
            <w:vAlign w:val="center"/>
            <w:hideMark/>
          </w:tcPr>
          <w:p w:rsidR="00BC61A9" w:rsidRPr="00BC61A9" w:rsidRDefault="00BC61A9" w:rsidP="00BC61A9">
            <w:pPr>
              <w:spacing w:after="0" w:line="240" w:lineRule="auto"/>
              <w:jc w:val="center"/>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Методы голосования</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NDC000000000</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NADCRUMM</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 xml:space="preserve">Код страны: RU. </w:t>
            </w:r>
            <w:r w:rsidRPr="00BC61A9">
              <w:rPr>
                <w:rFonts w:ascii="Times New Roman" w:eastAsia="Times New Roman" w:hAnsi="Times New Roman"/>
                <w:sz w:val="20"/>
                <w:szCs w:val="20"/>
                <w:lang w:eastAsia="ru-RU"/>
              </w:rPr>
              <w:br/>
              <w:t>423827, Российская Федерация, Республика Татарстан, г. Набережные Челн</w:t>
            </w:r>
            <w:r w:rsidRPr="00BC61A9">
              <w:rPr>
                <w:rFonts w:ascii="Times New Roman" w:eastAsia="Times New Roman" w:hAnsi="Times New Roman"/>
                <w:sz w:val="20"/>
                <w:szCs w:val="20"/>
                <w:lang w:eastAsia="ru-RU"/>
              </w:rPr>
              <w:br/>
              <w:t>ы, проспект Автозаводский, 2, ПАО «КАМАЗ». 109052, г. Москва, ул. Ново</w:t>
            </w:r>
            <w:r w:rsidRPr="00BC61A9">
              <w:rPr>
                <w:rFonts w:ascii="Times New Roman" w:eastAsia="Times New Roman" w:hAnsi="Times New Roman"/>
                <w:sz w:val="20"/>
                <w:szCs w:val="20"/>
                <w:lang w:eastAsia="ru-RU"/>
              </w:rPr>
              <w:br/>
              <w:t>хохловская, дом 23, строение 1, помещение 1, АО «СТАТУС»</w:t>
            </w:r>
          </w:p>
        </w:tc>
      </w:tr>
      <w:tr w:rsidR="00BC61A9" w:rsidRPr="00BC61A9" w:rsidTr="00BC61A9">
        <w:trPr>
          <w:tblCellSpacing w:w="7" w:type="dxa"/>
        </w:trPr>
        <w:tc>
          <w:tcPr>
            <w:tcW w:w="0" w:type="auto"/>
            <w:gridSpan w:val="7"/>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BC61A9" w:rsidRPr="00BC61A9" w:rsidRDefault="00BC61A9" w:rsidP="00BC61A9">
            <w:pPr>
              <w:spacing w:after="0"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https://online.rostatus.ru/</w:t>
            </w:r>
          </w:p>
        </w:tc>
      </w:tr>
    </w:tbl>
    <w:p w:rsidR="00BC61A9" w:rsidRPr="00BC61A9" w:rsidRDefault="00BC61A9" w:rsidP="00BC61A9">
      <w:pPr>
        <w:spacing w:before="100" w:beforeAutospacing="1" w:after="100" w:afterAutospacing="1" w:line="240" w:lineRule="auto"/>
        <w:outlineLvl w:val="1"/>
        <w:rPr>
          <w:rFonts w:ascii="Times New Roman" w:eastAsia="Times New Roman" w:hAnsi="Times New Roman"/>
          <w:sz w:val="20"/>
          <w:szCs w:val="20"/>
          <w:lang w:eastAsia="ru-RU"/>
        </w:rPr>
      </w:pPr>
      <w:r w:rsidRPr="00BC61A9">
        <w:rPr>
          <w:rFonts w:ascii="Times New Roman" w:eastAsia="Times New Roman" w:hAnsi="Times New Roman"/>
          <w:b/>
          <w:bCs/>
          <w:sz w:val="20"/>
          <w:szCs w:val="20"/>
          <w:lang w:eastAsia="ru-RU"/>
        </w:rPr>
        <w:t>Повестка</w:t>
      </w:r>
      <w:r w:rsidRPr="00BC61A9">
        <w:rPr>
          <w:rFonts w:ascii="Times New Roman" w:eastAsia="Times New Roman" w:hAnsi="Times New Roman"/>
          <w:sz w:val="20"/>
          <w:szCs w:val="20"/>
          <w:lang w:eastAsia="ru-RU"/>
        </w:rPr>
        <w:t xml:space="preserve">1. Утверждение годового отчета ПАО «КАМАЗ». 2. Утверждение годовой бухгалтерской (финансовой) отчетности ПАО «КАМАЗ». 3. Распределение прибыли ПАО «КАМАЗ» (в том числе выплата (объявление) дивидендов) по результатам 2024 года. 4. Избрание членов Совета директоров ПАО «КАМАЗ». 5. Избрание членов Ревизионной комиссии ПАО «КАМАЗ». 6. Назначение аудиторской организации ПАО «КАМАЗ». 7. Утверждение Устава ПАО «КАМАЗ» в новой редакции. 8. Утверждение Положения об Общем собрании акционеров ПАО «КАМАЗ» в новой редакции. 9. Утверждение Положения о Совете директоров ПАО «КАМАЗ» в новой редакции. 10. Утверждение Положения о Правлении ПАО «КАМАЗ» в новой редакции. 11. Утверждение Положения о Генеральном директоре ПАО «КАМАЗ» в новой редакции. 12. О выплате вознаграждения за работу в составе Совета директоров ПАО «КАМАЗ» членам Совета директоров ПАО «КАМАЗ». 13. О выплате вознаграждения за работу в составе Ревизионной комиссии ПАО «КАМАЗ» членам Ревизионной комиссии ПАО «КАМАЗ». </w:t>
      </w:r>
    </w:p>
    <w:p w:rsidR="00BC61A9" w:rsidRDefault="00BC61A9" w:rsidP="00BC61A9">
      <w:pPr>
        <w:spacing w:before="100" w:beforeAutospacing="1" w:after="100" w:afterAutospacing="1" w:line="240" w:lineRule="auto"/>
        <w:rPr>
          <w:rFonts w:ascii="Times New Roman" w:eastAsia="Times New Roman" w:hAnsi="Times New Roman"/>
          <w:sz w:val="20"/>
          <w:szCs w:val="20"/>
          <w:lang w:eastAsia="ru-RU"/>
        </w:rPr>
      </w:pPr>
      <w:r w:rsidRPr="00BC61A9">
        <w:rPr>
          <w:rFonts w:ascii="Times New Roman" w:eastAsia="Times New Roman" w:hAnsi="Times New Roman"/>
          <w:sz w:val="20"/>
          <w:szCs w:val="20"/>
          <w:lang w:eastAsia="ru-RU"/>
        </w:rPr>
        <w:t xml:space="preserve">Приложение 1: </w:t>
      </w:r>
      <w:hyperlink r:id="rId4" w:tgtFrame="_blank" w:history="1">
        <w:r w:rsidRPr="00BC61A9">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BC61A9" w:rsidRPr="00C55268" w:rsidRDefault="00BC61A9" w:rsidP="00BC61A9">
      <w:pPr>
        <w:spacing w:after="0" w:line="240" w:lineRule="auto"/>
        <w:jc w:val="both"/>
        <w:rPr>
          <w:rFonts w:ascii="Times New Roman" w:eastAsia="Times New Roman" w:hAnsi="Times New Roman"/>
          <w:sz w:val="20"/>
          <w:szCs w:val="20"/>
          <w:lang w:eastAsia="ru-RU"/>
        </w:rPr>
      </w:pPr>
      <w:r w:rsidRPr="00BC61A9">
        <w:rPr>
          <w:rStyle w:val="a6"/>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sidRPr="00BC61A9">
        <w:rPr>
          <w:rStyle w:val="a6"/>
          <w:i w:val="0"/>
          <w:sz w:val="20"/>
          <w:szCs w:val="20"/>
        </w:rPr>
        <w:t>.</w:t>
      </w:r>
      <w:r>
        <w:rPr>
          <w:rStyle w:val="a6"/>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p w:rsidR="00BC61A9" w:rsidRPr="00BC61A9" w:rsidRDefault="00BC61A9" w:rsidP="00BC61A9">
      <w:pPr>
        <w:spacing w:before="100" w:beforeAutospacing="1" w:after="100" w:afterAutospacing="1" w:line="240" w:lineRule="auto"/>
        <w:rPr>
          <w:rFonts w:ascii="Times New Roman" w:eastAsia="Times New Roman" w:hAnsi="Times New Roman"/>
          <w:sz w:val="20"/>
          <w:szCs w:val="20"/>
          <w:lang w:eastAsia="ru-RU"/>
        </w:rPr>
      </w:pPr>
    </w:p>
    <w:sectPr w:rsidR="00BC61A9" w:rsidRPr="00BC61A9" w:rsidSect="00BC61A9">
      <w:pgSz w:w="11906" w:h="16838"/>
      <w:pgMar w:top="426"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C61A9"/>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1924"/>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61A9"/>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BC61A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BC61A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61A9"/>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BC61A9"/>
    <w:rPr>
      <w:rFonts w:ascii="Times New Roman" w:eastAsia="Times New Roman" w:hAnsi="Times New Roman"/>
      <w:b/>
      <w:bCs/>
      <w:sz w:val="36"/>
      <w:szCs w:val="36"/>
    </w:rPr>
  </w:style>
  <w:style w:type="paragraph" w:styleId="a3">
    <w:name w:val="Normal (Web)"/>
    <w:basedOn w:val="a"/>
    <w:uiPriority w:val="99"/>
    <w:semiHidden/>
    <w:unhideWhenUsed/>
    <w:rsid w:val="00BC61A9"/>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BC61A9"/>
    <w:rPr>
      <w:color w:val="0000FF"/>
      <w:u w:val="single"/>
    </w:rPr>
  </w:style>
  <w:style w:type="character" w:styleId="a5">
    <w:name w:val="FollowedHyperlink"/>
    <w:basedOn w:val="a0"/>
    <w:uiPriority w:val="99"/>
    <w:semiHidden/>
    <w:unhideWhenUsed/>
    <w:rsid w:val="00BC61A9"/>
    <w:rPr>
      <w:color w:val="800080"/>
      <w:u w:val="single"/>
    </w:rPr>
  </w:style>
  <w:style w:type="paragraph" w:styleId="HTML">
    <w:name w:val="HTML Preformatted"/>
    <w:basedOn w:val="a"/>
    <w:link w:val="HTML0"/>
    <w:uiPriority w:val="99"/>
    <w:semiHidden/>
    <w:unhideWhenUsed/>
    <w:rsid w:val="00BC6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C61A9"/>
    <w:rPr>
      <w:rFonts w:ascii="Courier New" w:eastAsia="Times New Roman" w:hAnsi="Courier New" w:cs="Courier New"/>
    </w:rPr>
  </w:style>
  <w:style w:type="character" w:styleId="a6">
    <w:name w:val="Emphasis"/>
    <w:basedOn w:val="a0"/>
    <w:uiPriority w:val="20"/>
    <w:qFormat/>
    <w:rsid w:val="00BC61A9"/>
    <w:rPr>
      <w:i/>
      <w:iCs/>
    </w:rPr>
  </w:style>
  <w:style w:type="paragraph" w:styleId="a7">
    <w:name w:val="No Spacing"/>
    <w:uiPriority w:val="1"/>
    <w:qFormat/>
    <w:rsid w:val="00BC61A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63112185">
      <w:bodyDiv w:val="1"/>
      <w:marLeft w:val="0"/>
      <w:marRight w:val="0"/>
      <w:marTop w:val="0"/>
      <w:marBottom w:val="0"/>
      <w:divBdr>
        <w:top w:val="none" w:sz="0" w:space="0" w:color="auto"/>
        <w:left w:val="none" w:sz="0" w:space="0" w:color="auto"/>
        <w:bottom w:val="none" w:sz="0" w:space="0" w:color="auto"/>
        <w:right w:val="none" w:sz="0" w:space="0" w:color="auto"/>
      </w:divBdr>
      <w:divsChild>
        <w:div w:id="1290626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bc980451ff1d4a18ab71fc92e36fe5f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582</Words>
  <Characters>3319</Characters>
  <Application>Microsoft Office Word</Application>
  <DocSecurity>0</DocSecurity>
  <Lines>27</Lines>
  <Paragraphs>7</Paragraphs>
  <ScaleCrop>false</ScaleCrop>
  <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2</cp:revision>
  <dcterms:created xsi:type="dcterms:W3CDTF">2025-06-06T09:06:00Z</dcterms:created>
  <dcterms:modified xsi:type="dcterms:W3CDTF">2025-06-06T09:10:00Z</dcterms:modified>
</cp:coreProperties>
</file>