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6B5" w:rsidRPr="00CC2E43" w:rsidRDefault="008576B5" w:rsidP="008576B5">
      <w:pPr>
        <w:pStyle w:val="a6"/>
        <w:rPr>
          <w:rFonts w:ascii="Times New Roman" w:hAnsi="Times New Roman"/>
          <w:sz w:val="20"/>
          <w:szCs w:val="20"/>
          <w:lang w:eastAsia="ru-RU"/>
        </w:rPr>
      </w:pPr>
      <w:r w:rsidRPr="00CC2E43">
        <w:rPr>
          <w:rFonts w:ascii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533"/>
        <w:gridCol w:w="5516"/>
        <w:gridCol w:w="36"/>
      </w:tblGrid>
      <w:tr w:rsidR="008576B5" w:rsidRPr="00CC2E43" w:rsidTr="008576B5">
        <w:trPr>
          <w:tblCellSpacing w:w="7" w:type="dxa"/>
        </w:trPr>
        <w:tc>
          <w:tcPr>
            <w:tcW w:w="0" w:type="auto"/>
            <w:vAlign w:val="center"/>
            <w:hideMark/>
          </w:tcPr>
          <w:p w:rsidR="008576B5" w:rsidRPr="00CC2E43" w:rsidRDefault="008576B5" w:rsidP="008576B5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2E43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576B5" w:rsidRPr="00CC2E43" w:rsidRDefault="008576B5" w:rsidP="008576B5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2E43">
              <w:rPr>
                <w:rFonts w:ascii="Times New Roman" w:hAnsi="Times New Roman"/>
                <w:sz w:val="20"/>
                <w:szCs w:val="20"/>
                <w:lang w:eastAsia="ru-RU"/>
              </w:rPr>
              <w:t>№ 110776291</w:t>
            </w:r>
            <w:r w:rsidR="00CC2E43" w:rsidRPr="00CC2E43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CC2E43" w:rsidRPr="00CC2E43">
              <w:rPr>
                <w:rFonts w:ascii="Times New Roman" w:hAnsi="Times New Roman"/>
                <w:sz w:val="20"/>
                <w:szCs w:val="20"/>
              </w:rPr>
              <w:t xml:space="preserve"> 110774500</w:t>
            </w:r>
          </w:p>
        </w:tc>
        <w:tc>
          <w:tcPr>
            <w:tcW w:w="0" w:type="auto"/>
            <w:vAlign w:val="center"/>
            <w:hideMark/>
          </w:tcPr>
          <w:p w:rsidR="008576B5" w:rsidRPr="00CC2E43" w:rsidRDefault="008576B5" w:rsidP="008576B5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76B5" w:rsidRPr="00CC2E43" w:rsidTr="008576B5">
        <w:trPr>
          <w:tblCellSpacing w:w="7" w:type="dxa"/>
        </w:trPr>
        <w:tc>
          <w:tcPr>
            <w:tcW w:w="0" w:type="auto"/>
            <w:vAlign w:val="center"/>
            <w:hideMark/>
          </w:tcPr>
          <w:p w:rsidR="008576B5" w:rsidRPr="00CC2E43" w:rsidRDefault="008576B5" w:rsidP="008576B5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2E43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576B5" w:rsidRPr="00CC2E43" w:rsidRDefault="008576B5" w:rsidP="008576B5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2E43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8576B5" w:rsidRPr="00CC2E43" w:rsidRDefault="008576B5" w:rsidP="008576B5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76B5" w:rsidRPr="00CC2E43" w:rsidTr="008576B5">
        <w:trPr>
          <w:tblCellSpacing w:w="7" w:type="dxa"/>
        </w:trPr>
        <w:tc>
          <w:tcPr>
            <w:tcW w:w="0" w:type="auto"/>
            <w:vAlign w:val="center"/>
            <w:hideMark/>
          </w:tcPr>
          <w:p w:rsidR="008576B5" w:rsidRPr="00CC2E43" w:rsidRDefault="008576B5" w:rsidP="008576B5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2E43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8576B5" w:rsidRPr="00CC2E43" w:rsidRDefault="008576B5" w:rsidP="008576B5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C2E43">
              <w:rPr>
                <w:rFonts w:ascii="Times New Roman" w:hAnsi="Times New Roman"/>
                <w:sz w:val="20"/>
                <w:szCs w:val="20"/>
                <w:lang w:eastAsia="ru-RU"/>
              </w:rPr>
              <w:t>№ 109668364</w:t>
            </w:r>
          </w:p>
        </w:tc>
        <w:tc>
          <w:tcPr>
            <w:tcW w:w="0" w:type="auto"/>
            <w:vAlign w:val="center"/>
            <w:hideMark/>
          </w:tcPr>
          <w:p w:rsidR="008576B5" w:rsidRPr="00CC2E43" w:rsidRDefault="008576B5" w:rsidP="008576B5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76B5" w:rsidRPr="00CC2E43" w:rsidTr="008576B5">
        <w:trPr>
          <w:tblCellSpacing w:w="7" w:type="dxa"/>
        </w:trPr>
        <w:tc>
          <w:tcPr>
            <w:tcW w:w="0" w:type="auto"/>
            <w:vAlign w:val="center"/>
            <w:hideMark/>
          </w:tcPr>
          <w:p w:rsidR="008576B5" w:rsidRPr="00CC2E43" w:rsidRDefault="008576B5" w:rsidP="008576B5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76B5" w:rsidRPr="00CC2E43" w:rsidRDefault="008576B5" w:rsidP="008576B5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76B5" w:rsidRPr="00CC2E43" w:rsidRDefault="008576B5" w:rsidP="008576B5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76B5" w:rsidRPr="00CC2E43" w:rsidTr="008576B5">
        <w:trPr>
          <w:tblCellSpacing w:w="7" w:type="dxa"/>
        </w:trPr>
        <w:tc>
          <w:tcPr>
            <w:tcW w:w="0" w:type="auto"/>
            <w:vAlign w:val="center"/>
            <w:hideMark/>
          </w:tcPr>
          <w:p w:rsidR="008576B5" w:rsidRPr="00CC2E43" w:rsidRDefault="008576B5" w:rsidP="008576B5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76B5" w:rsidRPr="00CC2E43" w:rsidRDefault="008576B5" w:rsidP="008576B5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576B5" w:rsidRPr="00CC2E43" w:rsidRDefault="008576B5" w:rsidP="008576B5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576B5" w:rsidRPr="00CC2E43" w:rsidRDefault="008576B5" w:rsidP="008576B5">
      <w:pPr>
        <w:pStyle w:val="a6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CC2E43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прошедшем корпоративном действии "Годовое заседание общего собрания акционеров" с ценными бумагами эмитента ПАО "Сургутнефтегаз" ИНН 8602060555 (акция 1-01-00155-A / ISIN RU0008926258)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3"/>
        <w:gridCol w:w="769"/>
        <w:gridCol w:w="1583"/>
        <w:gridCol w:w="554"/>
        <w:gridCol w:w="554"/>
        <w:gridCol w:w="554"/>
        <w:gridCol w:w="1340"/>
        <w:gridCol w:w="1488"/>
        <w:gridCol w:w="887"/>
        <w:gridCol w:w="674"/>
        <w:gridCol w:w="646"/>
        <w:gridCol w:w="646"/>
        <w:gridCol w:w="27"/>
      </w:tblGrid>
      <w:tr w:rsidR="008576B5" w:rsidRPr="00CC2E43" w:rsidTr="008576B5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2E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576B5" w:rsidRPr="00CC2E43" w:rsidTr="008576B5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576B5" w:rsidRPr="00CC2E43" w:rsidRDefault="008576B5" w:rsidP="008576B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1032788</w:t>
            </w:r>
          </w:p>
        </w:tc>
      </w:tr>
      <w:tr w:rsidR="008576B5" w:rsidRPr="00CC2E43" w:rsidTr="008576B5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576B5" w:rsidRPr="00CC2E43" w:rsidRDefault="008576B5" w:rsidP="008576B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8576B5" w:rsidRPr="00CC2E43" w:rsidTr="008576B5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576B5" w:rsidRPr="00CC2E43" w:rsidRDefault="008576B5" w:rsidP="008576B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8576B5" w:rsidRPr="00CC2E43" w:rsidTr="008576B5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27 июня 2025 г. </w:t>
            </w:r>
          </w:p>
        </w:tc>
      </w:tr>
      <w:tr w:rsidR="008576B5" w:rsidRPr="00CC2E43" w:rsidTr="008576B5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июня 2025 г.</w:t>
            </w:r>
          </w:p>
        </w:tc>
      </w:tr>
      <w:tr w:rsidR="008576B5" w:rsidRPr="00CC2E43" w:rsidTr="008576B5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8576B5" w:rsidRPr="00CC2E43" w:rsidRDefault="008576B5" w:rsidP="008576B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8576B5" w:rsidRPr="00CC2E43" w:rsidTr="008576B5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2E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576B5" w:rsidRPr="00CC2E43" w:rsidTr="008576B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2E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2E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2E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2E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2E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2E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2E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76B5" w:rsidRPr="00CC2E43" w:rsidTr="008576B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1032788X4528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"Сургутнефтегаз"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1-01-00155-A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RU0008926258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RU0008926258</w:t>
            </w:r>
          </w:p>
        </w:tc>
        <w:tc>
          <w:tcPr>
            <w:tcW w:w="0" w:type="auto"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76B5" w:rsidRPr="00CC2E43" w:rsidTr="008576B5">
        <w:trPr>
          <w:gridAfter w:val="2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2E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8576B5" w:rsidRPr="00CC2E43" w:rsidTr="008576B5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2E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2E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8576B5" w:rsidRPr="00CC2E43" w:rsidTr="008576B5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1040176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76B5" w:rsidRPr="00CC2E43" w:rsidTr="008576B5">
        <w:trPr>
          <w:tblHeader/>
          <w:tblCellSpacing w:w="7" w:type="dxa"/>
        </w:trPr>
        <w:tc>
          <w:tcPr>
            <w:tcW w:w="0" w:type="auto"/>
            <w:gridSpan w:val="13"/>
            <w:shd w:val="clear" w:color="auto" w:fill="BBBBBB"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C2E4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8576B5" w:rsidRPr="00CC2E43" w:rsidTr="00CC2E43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</w:t>
            </w:r>
          </w:p>
        </w:tc>
        <w:tc>
          <w:tcPr>
            <w:tcW w:w="3140" w:type="pct"/>
            <w:gridSpan w:val="7"/>
            <w:vMerge w:val="restart"/>
            <w:shd w:val="clear" w:color="auto" w:fill="EEEEEE"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годовой отчет ПАО «Сургутнефтегаз» за 2024 год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8576B5" w:rsidRPr="00CC2E43" w:rsidTr="008576B5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21486791867</w:t>
            </w: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1084712</w:t>
            </w: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54241237</w:t>
            </w: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903008</w:t>
            </w:r>
          </w:p>
        </w:tc>
      </w:tr>
      <w:tr w:rsidR="008576B5" w:rsidRPr="00CC2E43" w:rsidTr="00CC2E43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</w:t>
            </w:r>
          </w:p>
        </w:tc>
        <w:tc>
          <w:tcPr>
            <w:tcW w:w="3140" w:type="pct"/>
            <w:gridSpan w:val="7"/>
            <w:vMerge w:val="restart"/>
            <w:shd w:val="clear" w:color="auto" w:fill="EEEEEE"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годовую бухгалтерскую (финансовую) отчетность ПАО «Сургутнефтегаз» за 2024 год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8576B5" w:rsidRPr="00CC2E43" w:rsidTr="008576B5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21486922913</w:t>
            </w: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1085912</w:t>
            </w: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54278037</w:t>
            </w: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733962</w:t>
            </w:r>
          </w:p>
        </w:tc>
      </w:tr>
      <w:tr w:rsidR="008576B5" w:rsidRPr="00CC2E43" w:rsidTr="00CC2E43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решения:3.1</w:t>
            </w:r>
          </w:p>
        </w:tc>
        <w:tc>
          <w:tcPr>
            <w:tcW w:w="3140" w:type="pct"/>
            <w:gridSpan w:val="7"/>
            <w:vMerge w:val="restart"/>
            <w:shd w:val="clear" w:color="auto" w:fill="EEEEEE"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Утвердить распределение прибыли и убытков ПАО «Сургутнефтегаз» по результатам 2024 года. Объявить выплату дивиденда по привилегированной акции ПАО «Сургутнефтегаз» - 8,50 рубля, по обыкновенной акции ПАО «Сургутнефтегаз» - 0,90 рубля; выплату дивидендов физическим лицам – получателям дивидендов производит регистратор ПАО «Сургутнефтегаз» – АО «Сургутинвестнефть», а юридическим лицам – получателям дивидендов – ПАО «Сургутнефтегаз». Установить 17 июля 2025 года в качестве даты, на которую определяются лица, имеющие право на получение дивидендов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8576B5" w:rsidRPr="00CC2E43" w:rsidTr="008576B5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21535343925</w:t>
            </w: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1113900</w:t>
            </w: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5563780</w:t>
            </w: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999219</w:t>
            </w:r>
          </w:p>
        </w:tc>
      </w:tr>
      <w:tr w:rsidR="008576B5" w:rsidRPr="00CC2E43" w:rsidTr="00CC2E43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решения:4.1</w:t>
            </w:r>
          </w:p>
        </w:tc>
        <w:tc>
          <w:tcPr>
            <w:tcW w:w="3140" w:type="pct"/>
            <w:gridSpan w:val="7"/>
            <w:vMerge w:val="restart"/>
            <w:shd w:val="clear" w:color="auto" w:fill="EEEEEE"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Внести в Положение о Совете директоров ПАО «Сургутнефтегаз» следующие изменения: в абзаце 2 п.5.2 слова «4 000 000 (четыре миллиона) рублей» и «1 000 000 (один миллион) рублей» заменить соответственно словами «8 000 000 (восемь миллионов) рублей» и «1 500 000 (один миллион пятьсот тысяч) рублей»; в абзаце 4 п.5.2 после слова «производится» дополнить словом «единовременно»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8576B5" w:rsidRPr="00CC2E43" w:rsidTr="008576B5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21482176055</w:t>
            </w: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1465846</w:t>
            </w: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58624186</w:t>
            </w: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754737</w:t>
            </w:r>
          </w:p>
        </w:tc>
      </w:tr>
      <w:tr w:rsidR="008576B5" w:rsidRPr="00CC2E43" w:rsidTr="00CC2E43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решения:5.1</w:t>
            </w:r>
          </w:p>
        </w:tc>
        <w:tc>
          <w:tcPr>
            <w:tcW w:w="3140" w:type="pct"/>
            <w:gridSpan w:val="7"/>
            <w:vMerge w:val="restart"/>
            <w:shd w:val="clear" w:color="auto" w:fill="EEEEEE"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Внести в Положение о Ревизионной комиссии ПАО «Сургутнефтегаз» следующие изменения: в абзаце 1 п.4.7 слова «700 000 рублей» заменить словами «1 200 000 (один миллион двести тысяч) рублей»; в абзаце 2 п.4.7 после слова «производится» дополнить словом «единовременно»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8576B5" w:rsidRPr="00CC2E43" w:rsidTr="008576B5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21482223930</w:t>
            </w: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1440846</w:t>
            </w: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58576186</w:t>
            </w: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779862</w:t>
            </w:r>
          </w:p>
        </w:tc>
      </w:tr>
      <w:tr w:rsidR="008576B5" w:rsidRPr="00CC2E43" w:rsidTr="00CC2E43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решения:6.1</w:t>
            </w:r>
          </w:p>
        </w:tc>
        <w:tc>
          <w:tcPr>
            <w:tcW w:w="3140" w:type="pct"/>
            <w:gridSpan w:val="7"/>
            <w:vMerge w:val="restart"/>
            <w:shd w:val="clear" w:color="auto" w:fill="EEEEEE"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Выплатить каждому члену Совета директоров ПАО «Сургутнефтегаз», не исполняющему функции Председателя Совета директоров или генерального директора Общества, а также не являющемуся работником Общества, базовое вознаграждение за период исполнения ими обязанностей членов Совета директоров в размере, установленном Положением о Совете директоров ПАО </w:t>
            </w: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«Сургутнефтегаз». Выплатить члену Совета директоров, выполнявшему функции председателя комитета Совета директоров по аудиту, дополнительное вознаграждение в размере, установленном Положением о Совете директоров ПАО «Сургутнефтегаз»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Принято: Да</w:t>
            </w:r>
          </w:p>
        </w:tc>
      </w:tr>
      <w:tr w:rsidR="008576B5" w:rsidRPr="00CC2E43" w:rsidTr="008576B5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21483112308</w:t>
            </w: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1296823</w:t>
            </w: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57861831</w:t>
            </w: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 участвовало: 749862</w:t>
            </w:r>
          </w:p>
        </w:tc>
      </w:tr>
      <w:tr w:rsidR="008576B5" w:rsidRPr="00CC2E43" w:rsidTr="00CC2E43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Номер проекта решения:7.1</w:t>
            </w:r>
          </w:p>
        </w:tc>
        <w:tc>
          <w:tcPr>
            <w:tcW w:w="3140" w:type="pct"/>
            <w:gridSpan w:val="7"/>
            <w:vMerge w:val="restart"/>
            <w:shd w:val="clear" w:color="auto" w:fill="EEEEEE"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Выплатить каждому члену Ревизионной комиссии ПАО «Сургутнефтегаз» вознаграждение в размере, установленном Положением о Ревизионной комиссии ПАО «Сургутнефтегаз»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8576B5" w:rsidRPr="00CC2E43" w:rsidTr="008576B5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21482859408</w:t>
            </w: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1234323</w:t>
            </w: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57991231</w:t>
            </w: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935862</w:t>
            </w:r>
          </w:p>
        </w:tc>
      </w:tr>
      <w:tr w:rsidR="008576B5" w:rsidRPr="00CC2E43" w:rsidTr="00CC2E43">
        <w:trPr>
          <w:tblCellSpacing w:w="7" w:type="dxa"/>
        </w:trPr>
        <w:tc>
          <w:tcPr>
            <w:tcW w:w="0" w:type="auto"/>
            <w:gridSpan w:val="2"/>
            <w:vMerge w:val="restart"/>
            <w:shd w:val="clear" w:color="auto" w:fill="EEEEEE"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решения:10.1</w:t>
            </w:r>
          </w:p>
        </w:tc>
        <w:tc>
          <w:tcPr>
            <w:tcW w:w="3140" w:type="pct"/>
            <w:gridSpan w:val="7"/>
            <w:vMerge w:val="restart"/>
            <w:shd w:val="clear" w:color="auto" w:fill="EEEEEE"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Назначить общество с ограниченной ответственностью «Аудиторско-консалтинговая компания «Аудэкс» (ОГРН 1141690066561) аудиторской организацией ПАО «Сургутнефтегаз» на 2025 год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8576B5" w:rsidRPr="00CC2E43" w:rsidTr="008576B5">
        <w:trPr>
          <w:tblCellSpacing w:w="7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576B5" w:rsidRPr="00CC2E43" w:rsidRDefault="008576B5" w:rsidP="008576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21486598382</w:t>
            </w: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1071512</w:t>
            </w: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54489157</w:t>
            </w:r>
            <w:r w:rsidRPr="00CC2E4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861773</w:t>
            </w:r>
          </w:p>
        </w:tc>
      </w:tr>
    </w:tbl>
    <w:p w:rsidR="00CC2E43" w:rsidRPr="00CC2E43" w:rsidRDefault="00CC2E43" w:rsidP="008576B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C2E43">
        <w:rPr>
          <w:rFonts w:ascii="Times New Roman" w:hAnsi="Times New Roman"/>
          <w:sz w:val="20"/>
          <w:szCs w:val="20"/>
        </w:rPr>
        <w:t>4.4 Информация о решениях, принятых общим собранием акционеров эмитента, а также об итогах голосования на общем собрании акционеров эмитента</w:t>
      </w:r>
    </w:p>
    <w:p w:rsidR="008576B5" w:rsidRPr="00CC2E43" w:rsidRDefault="008576B5" w:rsidP="008576B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C2E43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CC2E43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8576B5" w:rsidRPr="00CC2E43" w:rsidRDefault="008576B5" w:rsidP="008576B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C2E43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C2E43">
        <w:rPr>
          <w:rStyle w:val="a5"/>
          <w:rFonts w:ascii="Times New Roman" w:hAnsi="Times New Roman"/>
          <w:sz w:val="20"/>
          <w:szCs w:val="20"/>
        </w:rPr>
        <w:t xml:space="preserve">. </w:t>
      </w:r>
      <w:r w:rsidRPr="00CC2E43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576B5" w:rsidRPr="00965B49" w:rsidRDefault="008576B5" w:rsidP="008576B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576B5" w:rsidRPr="005B30EA" w:rsidRDefault="008576B5" w:rsidP="008576B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576B5" w:rsidRPr="008576B5" w:rsidRDefault="008576B5" w:rsidP="008576B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576B5" w:rsidRPr="008576B5" w:rsidSect="008576B5">
      <w:pgSz w:w="11906" w:h="16838"/>
      <w:pgMar w:top="28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576B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0D8F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92D94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576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DB4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C2E43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576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76B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576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576B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576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76B5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8576B5"/>
    <w:rPr>
      <w:i/>
      <w:iCs/>
    </w:rPr>
  </w:style>
  <w:style w:type="paragraph" w:styleId="a6">
    <w:name w:val="No Spacing"/>
    <w:uiPriority w:val="1"/>
    <w:qFormat/>
    <w:rsid w:val="008576B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8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f9eb18e72d948c5a445fe26c22206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2025-06-30T14:01:00Z</dcterms:created>
  <dcterms:modified xsi:type="dcterms:W3CDTF">2025-06-30T14:32:00Z</dcterms:modified>
</cp:coreProperties>
</file>