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56" w:rsidRDefault="00721356" w:rsidP="009B3DF4">
      <w:pPr>
        <w:ind w:firstLine="709"/>
        <w:jc w:val="center"/>
        <w:rPr>
          <w:b/>
          <w:sz w:val="24"/>
          <w:szCs w:val="24"/>
        </w:rPr>
      </w:pPr>
      <w:bookmarkStart w:id="0" w:name="_GoBack"/>
      <w:r>
        <w:rPr>
          <w:b/>
          <w:sz w:val="24"/>
          <w:szCs w:val="24"/>
        </w:rPr>
        <w:t>ИНЫЕ ДЕКЛАРАЦИИ О РИСКАХ</w:t>
      </w:r>
    </w:p>
    <w:p w:rsidR="00721356" w:rsidRDefault="00721356" w:rsidP="00E302FE">
      <w:pPr>
        <w:ind w:firstLine="709"/>
        <w:jc w:val="both"/>
        <w:rPr>
          <w:b/>
          <w:sz w:val="24"/>
          <w:szCs w:val="24"/>
        </w:rPr>
      </w:pPr>
    </w:p>
    <w:p w:rsidR="00E302FE" w:rsidRPr="00E302FE" w:rsidRDefault="00C53CDC" w:rsidP="00C53CDC">
      <w:pPr>
        <w:ind w:firstLine="709"/>
        <w:jc w:val="center"/>
        <w:rPr>
          <w:b/>
          <w:sz w:val="24"/>
          <w:szCs w:val="24"/>
        </w:rPr>
      </w:pPr>
      <w:bookmarkStart w:id="1" w:name="Par0"/>
      <w:bookmarkEnd w:id="0"/>
      <w:bookmarkEnd w:id="1"/>
      <w:r>
        <w:rPr>
          <w:b/>
          <w:sz w:val="24"/>
          <w:szCs w:val="24"/>
        </w:rPr>
        <w:t>1</w:t>
      </w:r>
      <w:r w:rsidR="00E302FE" w:rsidRPr="00E302FE">
        <w:rPr>
          <w:b/>
          <w:sz w:val="24"/>
          <w:szCs w:val="24"/>
        </w:rPr>
        <w:t>. ДЕКЛАРАЦИЯ О РИСКАХ,</w:t>
      </w:r>
    </w:p>
    <w:p w:rsidR="00E302FE" w:rsidRPr="00E302FE" w:rsidRDefault="00E302FE" w:rsidP="00C53CDC">
      <w:pPr>
        <w:ind w:firstLine="709"/>
        <w:jc w:val="center"/>
        <w:rPr>
          <w:b/>
          <w:sz w:val="24"/>
          <w:szCs w:val="24"/>
        </w:rPr>
      </w:pPr>
      <w:r w:rsidRPr="00E302FE">
        <w:rPr>
          <w:b/>
          <w:sz w:val="24"/>
          <w:szCs w:val="24"/>
        </w:rPr>
        <w:t>СВЯЗАННЫХ С СОВМЕЩЕНИЕМ БАНКОМ</w:t>
      </w:r>
    </w:p>
    <w:p w:rsidR="00E302FE" w:rsidRPr="00E302FE" w:rsidRDefault="00E302FE" w:rsidP="00C53CDC">
      <w:pPr>
        <w:ind w:firstLine="709"/>
        <w:jc w:val="center"/>
        <w:rPr>
          <w:b/>
          <w:sz w:val="24"/>
          <w:szCs w:val="24"/>
        </w:rPr>
      </w:pPr>
      <w:r w:rsidRPr="00E302FE">
        <w:rPr>
          <w:b/>
          <w:sz w:val="24"/>
          <w:szCs w:val="24"/>
        </w:rPr>
        <w:t>РАЗЛИЧНЫХ ВИДОВ ПРОФЕССИОНАЛЬНОЙ ДЕЯТЕЛЬНОСТИ,</w:t>
      </w:r>
    </w:p>
    <w:p w:rsidR="004C7740" w:rsidRDefault="00E302FE" w:rsidP="00C53CDC">
      <w:pPr>
        <w:ind w:firstLine="709"/>
        <w:jc w:val="center"/>
        <w:rPr>
          <w:b/>
          <w:sz w:val="24"/>
          <w:szCs w:val="24"/>
        </w:rPr>
      </w:pPr>
      <w:r w:rsidRPr="00E302FE">
        <w:rPr>
          <w:b/>
          <w:sz w:val="24"/>
          <w:szCs w:val="24"/>
        </w:rPr>
        <w:t>ПРОФЕССИОНАЛЬНОЙ ДЕЯТЕЛЬНОСТИ С ИНЫМИ</w:t>
      </w:r>
    </w:p>
    <w:p w:rsidR="00E302FE" w:rsidRPr="00E302FE" w:rsidRDefault="00E302FE" w:rsidP="00C53CDC">
      <w:pPr>
        <w:ind w:firstLine="709"/>
        <w:jc w:val="center"/>
        <w:rPr>
          <w:b/>
          <w:sz w:val="24"/>
          <w:szCs w:val="24"/>
        </w:rPr>
      </w:pPr>
      <w:r w:rsidRPr="00E302FE">
        <w:rPr>
          <w:b/>
          <w:sz w:val="24"/>
          <w:szCs w:val="24"/>
        </w:rPr>
        <w:t>ВИДАМИ ДЕЯТЕЛЬНОСТИ</w:t>
      </w:r>
    </w:p>
    <w:p w:rsidR="00E302FE" w:rsidRPr="00CA4DD8" w:rsidRDefault="00E302FE" w:rsidP="00E302FE">
      <w:pPr>
        <w:ind w:firstLine="709"/>
        <w:jc w:val="both"/>
        <w:rPr>
          <w:sz w:val="24"/>
          <w:szCs w:val="24"/>
        </w:rPr>
      </w:pPr>
    </w:p>
    <w:p w:rsidR="00E302FE" w:rsidRPr="00E302FE" w:rsidRDefault="00E302FE" w:rsidP="00E302FE">
      <w:pPr>
        <w:ind w:firstLine="709"/>
        <w:jc w:val="both"/>
        <w:rPr>
          <w:sz w:val="24"/>
          <w:szCs w:val="24"/>
        </w:rPr>
      </w:pPr>
      <w:r w:rsidRPr="00E302FE">
        <w:rPr>
          <w:sz w:val="24"/>
          <w:szCs w:val="24"/>
        </w:rPr>
        <w:t>Банк доводит до сведения всех Клиентов информацию о том, что, имея соответс</w:t>
      </w:r>
      <w:r w:rsidRPr="00E302FE">
        <w:rPr>
          <w:sz w:val="24"/>
          <w:szCs w:val="24"/>
        </w:rPr>
        <w:t>т</w:t>
      </w:r>
      <w:r w:rsidRPr="00E302FE">
        <w:rPr>
          <w:sz w:val="24"/>
          <w:szCs w:val="24"/>
        </w:rPr>
        <w:t>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w:t>
      </w:r>
      <w:r w:rsidRPr="00E302FE">
        <w:rPr>
          <w:sz w:val="24"/>
          <w:szCs w:val="24"/>
        </w:rPr>
        <w:t>н</w:t>
      </w:r>
      <w:r w:rsidRPr="00E302FE">
        <w:rPr>
          <w:sz w:val="24"/>
          <w:szCs w:val="24"/>
        </w:rPr>
        <w:t>ными бумагами. Банк также совмещает указанные виды профессиональной деятельности на рынке ценных бумаг с еще одним видом профессиональной деятельности на рынке ценных бумаг, не подлежащим лицензированию, - с деятельностью по инвестиционному консульт</w:t>
      </w:r>
      <w:r w:rsidRPr="00E302FE">
        <w:rPr>
          <w:sz w:val="24"/>
          <w:szCs w:val="24"/>
        </w:rPr>
        <w:t>и</w:t>
      </w:r>
      <w:r w:rsidRPr="00E302FE">
        <w:rPr>
          <w:sz w:val="24"/>
          <w:szCs w:val="24"/>
        </w:rPr>
        <w:t>рованию. А также Банк совмещает указанные виды профессиональной деятельности на ры</w:t>
      </w:r>
      <w:r w:rsidRPr="00E302FE">
        <w:rPr>
          <w:sz w:val="24"/>
          <w:szCs w:val="24"/>
        </w:rPr>
        <w:t>н</w:t>
      </w:r>
      <w:r w:rsidRPr="00E302FE">
        <w:rPr>
          <w:sz w:val="24"/>
          <w:szCs w:val="24"/>
        </w:rPr>
        <w:t>ке ценных бумаг с деятельностью кредитной организации.</w:t>
      </w:r>
    </w:p>
    <w:p w:rsidR="00E302FE" w:rsidRDefault="00E302FE" w:rsidP="00E302FE">
      <w:pPr>
        <w:ind w:firstLine="709"/>
        <w:jc w:val="both"/>
        <w:rPr>
          <w:sz w:val="24"/>
          <w:szCs w:val="24"/>
        </w:rPr>
      </w:pPr>
      <w:r w:rsidRPr="00E302FE">
        <w:rPr>
          <w:sz w:val="24"/>
          <w:szCs w:val="24"/>
        </w:rPr>
        <w:t>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Банка вследствие:</w:t>
      </w:r>
    </w:p>
    <w:tbl>
      <w:tblPr>
        <w:tblW w:w="9747" w:type="dxa"/>
        <w:tblLook w:val="04A0"/>
      </w:tblPr>
      <w:tblGrid>
        <w:gridCol w:w="817"/>
        <w:gridCol w:w="296"/>
        <w:gridCol w:w="8634"/>
      </w:tblGrid>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C53CDC" w:rsidRPr="00292985" w:rsidRDefault="00C53CDC" w:rsidP="00B312D0">
            <w:pPr>
              <w:jc w:val="both"/>
              <w:rPr>
                <w:sz w:val="24"/>
                <w:szCs w:val="24"/>
              </w:rPr>
            </w:pPr>
            <w:r w:rsidRPr="00E302FE">
              <w:rPr>
                <w:sz w:val="24"/>
                <w:szCs w:val="24"/>
              </w:rPr>
              <w:t>неправомерного использования сотрудниками Банка, осуществляющими профе</w:t>
            </w:r>
            <w:r w:rsidRPr="00E302FE">
              <w:rPr>
                <w:sz w:val="24"/>
                <w:szCs w:val="24"/>
              </w:rPr>
              <w:t>с</w:t>
            </w:r>
            <w:r w:rsidRPr="00E302FE">
              <w:rPr>
                <w:sz w:val="24"/>
                <w:szCs w:val="24"/>
              </w:rPr>
              <w:t>сиональную деятельность на рынке ценных бумаг, конфиденциальной информ</w:t>
            </w:r>
            <w:r w:rsidRPr="00E302FE">
              <w:rPr>
                <w:sz w:val="24"/>
                <w:szCs w:val="24"/>
              </w:rPr>
              <w:t>а</w:t>
            </w:r>
            <w:r w:rsidRPr="00E302FE">
              <w:rPr>
                <w:sz w:val="24"/>
                <w:szCs w:val="24"/>
              </w:rPr>
              <w:t>ции при проведении операций (сделок) на рынке ценных бумаг;</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C53CDC" w:rsidRPr="00292985" w:rsidRDefault="00C53CDC" w:rsidP="00B312D0">
            <w:pPr>
              <w:jc w:val="both"/>
              <w:rPr>
                <w:bCs/>
                <w:sz w:val="24"/>
                <w:szCs w:val="24"/>
              </w:rPr>
            </w:pPr>
            <w:r w:rsidRPr="00E302FE">
              <w:rPr>
                <w:sz w:val="24"/>
                <w:szCs w:val="24"/>
              </w:rPr>
              <w:t>возникновения конфликта интересов, а именно нарушения принципа приорите</w:t>
            </w:r>
            <w:r w:rsidRPr="00E302FE">
              <w:rPr>
                <w:sz w:val="24"/>
                <w:szCs w:val="24"/>
              </w:rPr>
              <w:t>т</w:t>
            </w:r>
            <w:r w:rsidRPr="00E302FE">
              <w:rPr>
                <w:sz w:val="24"/>
                <w:szCs w:val="24"/>
              </w:rPr>
              <w:t>ности интересов Клиента Банка перед интересами Банка, которые могут приве</w:t>
            </w:r>
            <w:r w:rsidRPr="00E302FE">
              <w:rPr>
                <w:sz w:val="24"/>
                <w:szCs w:val="24"/>
              </w:rPr>
              <w:t>с</w:t>
            </w:r>
            <w:r w:rsidRPr="00E302FE">
              <w:rPr>
                <w:sz w:val="24"/>
                <w:szCs w:val="24"/>
              </w:rPr>
              <w:t>ти в результате действий (бездействия) Банка и его сотрудников к убыткам и (или) неблагоприятным последствиям для Клиента Банка;</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292985" w:rsidRDefault="00C53CDC" w:rsidP="00B312D0">
            <w:pPr>
              <w:jc w:val="both"/>
              <w:rPr>
                <w:bCs/>
                <w:sz w:val="24"/>
                <w:szCs w:val="24"/>
              </w:rPr>
            </w:pPr>
            <w:r w:rsidRPr="00E302FE">
              <w:rPr>
                <w:sz w:val="24"/>
                <w:szCs w:val="24"/>
              </w:rPr>
              <w:t>неправомерного и (или) ненадлежащего использования инсайдерской информ</w:t>
            </w:r>
            <w:r w:rsidRPr="00E302FE">
              <w:rPr>
                <w:sz w:val="24"/>
                <w:szCs w:val="24"/>
              </w:rPr>
              <w:t>а</w:t>
            </w:r>
            <w:r w:rsidRPr="00E302FE">
              <w:rPr>
                <w:sz w:val="24"/>
                <w:szCs w:val="24"/>
              </w:rPr>
              <w:t>ции, полученной в связи с осуществлением профессиональной деятельности;</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292985" w:rsidRDefault="00C53CDC" w:rsidP="00B312D0">
            <w:pPr>
              <w:jc w:val="both"/>
              <w:rPr>
                <w:bCs/>
                <w:sz w:val="24"/>
                <w:szCs w:val="24"/>
              </w:rPr>
            </w:pPr>
            <w:r w:rsidRPr="00E302FE">
              <w:rPr>
                <w:sz w:val="24"/>
                <w:szCs w:val="24"/>
              </w:rPr>
              <w:t>противоправного распоряжения сотрудниками Банка ценными бумагами и д</w:t>
            </w:r>
            <w:r w:rsidRPr="00E302FE">
              <w:rPr>
                <w:sz w:val="24"/>
                <w:szCs w:val="24"/>
              </w:rPr>
              <w:t>е</w:t>
            </w:r>
            <w:r w:rsidRPr="00E302FE">
              <w:rPr>
                <w:sz w:val="24"/>
                <w:szCs w:val="24"/>
              </w:rPr>
              <w:t>нежными средствами Клиента;</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C53CDC" w:rsidRDefault="00C53CDC" w:rsidP="00C53CDC">
            <w:pPr>
              <w:jc w:val="both"/>
              <w:rPr>
                <w:sz w:val="24"/>
                <w:szCs w:val="24"/>
              </w:rPr>
            </w:pPr>
            <w:r w:rsidRPr="00E302FE">
              <w:rPr>
                <w:sz w:val="24"/>
                <w:szCs w:val="24"/>
              </w:rPr>
              <w:t>осуществления сотрудниками Банка противоправных действий, связанных с хр</w:t>
            </w:r>
            <w:r w:rsidRPr="00E302FE">
              <w:rPr>
                <w:sz w:val="24"/>
                <w:szCs w:val="24"/>
              </w:rPr>
              <w:t>а</w:t>
            </w:r>
            <w:r w:rsidRPr="00E302FE">
              <w:rPr>
                <w:sz w:val="24"/>
                <w:szCs w:val="24"/>
              </w:rPr>
              <w:t>нением и (или) учетом прав на ценные бумаги Клиента;</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C53CDC" w:rsidRDefault="00C53CDC" w:rsidP="00B312D0">
            <w:pPr>
              <w:jc w:val="both"/>
              <w:rPr>
                <w:sz w:val="24"/>
                <w:szCs w:val="24"/>
              </w:rPr>
            </w:pPr>
            <w:r w:rsidRPr="00E302FE">
              <w:rPr>
                <w:sz w:val="24"/>
                <w:szCs w:val="24"/>
              </w:rPr>
              <w:t>необеспечения (ненадлежащего обеспечения) прав по ценным бумагам Клиента Банка;</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C53CDC" w:rsidRDefault="00C53CDC" w:rsidP="00B312D0">
            <w:pPr>
              <w:jc w:val="both"/>
              <w:rPr>
                <w:sz w:val="24"/>
                <w:szCs w:val="24"/>
              </w:rPr>
            </w:pPr>
            <w:r w:rsidRPr="00E302FE">
              <w:rPr>
                <w:sz w:val="24"/>
                <w:szCs w:val="24"/>
              </w:rPr>
              <w:t>несвоевременного (ненадлежащего исполнения) сделок при совмещении броке</w:t>
            </w:r>
            <w:r w:rsidRPr="00E302FE">
              <w:rPr>
                <w:sz w:val="24"/>
                <w:szCs w:val="24"/>
              </w:rPr>
              <w:t>р</w:t>
            </w:r>
            <w:r w:rsidRPr="00E302FE">
              <w:rPr>
                <w:sz w:val="24"/>
                <w:szCs w:val="24"/>
              </w:rPr>
              <w:t>ской и депозитарной деятельности;</w:t>
            </w:r>
          </w:p>
        </w:tc>
      </w:tr>
      <w:tr w:rsidR="00C53CDC" w:rsidRPr="00292985" w:rsidTr="00B312D0">
        <w:tc>
          <w:tcPr>
            <w:tcW w:w="817" w:type="dxa"/>
          </w:tcPr>
          <w:p w:rsidR="00C53CDC" w:rsidRPr="00292985" w:rsidRDefault="00C53CDC" w:rsidP="00B312D0">
            <w:pPr>
              <w:pStyle w:val="Default"/>
              <w:rPr>
                <w:rFonts w:ascii="Times New Roman" w:hAnsi="Times New Roman" w:cs="Times New Roman"/>
                <w:bCs/>
              </w:rPr>
            </w:pPr>
          </w:p>
        </w:tc>
        <w:tc>
          <w:tcPr>
            <w:tcW w:w="296" w:type="dxa"/>
          </w:tcPr>
          <w:p w:rsidR="00C53CDC" w:rsidRPr="00292985" w:rsidRDefault="00C53CDC"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C53CDC" w:rsidRPr="00C53CDC" w:rsidRDefault="00C53CDC" w:rsidP="00B312D0">
            <w:pPr>
              <w:jc w:val="both"/>
              <w:rPr>
                <w:sz w:val="24"/>
                <w:szCs w:val="24"/>
              </w:rPr>
            </w:pPr>
            <w:r w:rsidRPr="00E302FE">
              <w:rPr>
                <w:sz w:val="24"/>
                <w:szCs w:val="24"/>
              </w:rPr>
              <w:t>недостаточно полного раскрытия информации в связи с осуществлением профе</w:t>
            </w:r>
            <w:r w:rsidRPr="00E302FE">
              <w:rPr>
                <w:sz w:val="24"/>
                <w:szCs w:val="24"/>
              </w:rPr>
              <w:t>с</w:t>
            </w:r>
            <w:r w:rsidRPr="00E302FE">
              <w:rPr>
                <w:sz w:val="24"/>
                <w:szCs w:val="24"/>
              </w:rPr>
              <w:t>сиональной деятельности.</w:t>
            </w:r>
          </w:p>
        </w:tc>
      </w:tr>
    </w:tbl>
    <w:p w:rsidR="00E302FE" w:rsidRPr="00E302FE" w:rsidRDefault="00E302FE" w:rsidP="00E302FE">
      <w:pPr>
        <w:ind w:firstLine="709"/>
        <w:jc w:val="both"/>
        <w:rPr>
          <w:sz w:val="24"/>
          <w:szCs w:val="24"/>
        </w:rPr>
      </w:pPr>
      <w:r w:rsidRPr="00E302FE">
        <w:rPr>
          <w:sz w:val="24"/>
          <w:szCs w:val="24"/>
        </w:rPr>
        <w:t>При совмещении профессиональной деятельности с деятельностью кредитной орган</w:t>
      </w:r>
      <w:r w:rsidRPr="00E302FE">
        <w:rPr>
          <w:sz w:val="24"/>
          <w:szCs w:val="24"/>
        </w:rPr>
        <w:t>и</w:t>
      </w:r>
      <w:r w:rsidRPr="00E302FE">
        <w:rPr>
          <w:sz w:val="24"/>
          <w:szCs w:val="24"/>
        </w:rPr>
        <w:t>зации, возникает риск нанесения ущерба Клиенту Банка при отзыве лицензии кредитной о</w:t>
      </w:r>
      <w:r w:rsidRPr="00E302FE">
        <w:rPr>
          <w:sz w:val="24"/>
          <w:szCs w:val="24"/>
        </w:rPr>
        <w:t>р</w:t>
      </w:r>
      <w:r w:rsidRPr="00E302FE">
        <w:rPr>
          <w:sz w:val="24"/>
          <w:szCs w:val="24"/>
        </w:rPr>
        <w:t>ганизации, который влечет за собой аннулирование лицензии профессионального участника.</w:t>
      </w:r>
    </w:p>
    <w:p w:rsidR="00E302FE" w:rsidRPr="00E302FE" w:rsidRDefault="00E302FE" w:rsidP="00E302FE">
      <w:pPr>
        <w:ind w:firstLine="709"/>
        <w:jc w:val="both"/>
        <w:rPr>
          <w:sz w:val="24"/>
          <w:szCs w:val="24"/>
        </w:rPr>
      </w:pPr>
      <w:r w:rsidRPr="00E302FE">
        <w:rPr>
          <w:sz w:val="24"/>
          <w:szCs w:val="24"/>
        </w:rPr>
        <w:t>При совмещении нескольких видов профессиональной деятельности или професси</w:t>
      </w:r>
      <w:r w:rsidRPr="00E302FE">
        <w:rPr>
          <w:sz w:val="24"/>
          <w:szCs w:val="24"/>
        </w:rPr>
        <w:t>о</w:t>
      </w:r>
      <w:r w:rsidRPr="00E302FE">
        <w:rPr>
          <w:sz w:val="24"/>
          <w:szCs w:val="24"/>
        </w:rPr>
        <w:t>нальной деятельности с иными видами деятельности, существует риск возникновения недо</w:t>
      </w:r>
      <w:r w:rsidRPr="00E302FE">
        <w:rPr>
          <w:sz w:val="24"/>
          <w:szCs w:val="24"/>
        </w:rPr>
        <w:t>с</w:t>
      </w:r>
      <w:r w:rsidRPr="00E302FE">
        <w:rPr>
          <w:sz w:val="24"/>
          <w:szCs w:val="24"/>
        </w:rPr>
        <w:t>таточности капитала для исполнения всех обязательств по возврату финансовых активов.</w:t>
      </w:r>
    </w:p>
    <w:p w:rsidR="00E302FE" w:rsidRPr="00E302FE" w:rsidRDefault="00E302FE" w:rsidP="00E302FE">
      <w:pPr>
        <w:ind w:firstLine="709"/>
        <w:jc w:val="both"/>
        <w:rPr>
          <w:sz w:val="24"/>
          <w:szCs w:val="24"/>
        </w:rPr>
      </w:pPr>
    </w:p>
    <w:p w:rsidR="00E302FE" w:rsidRPr="00E302FE" w:rsidRDefault="009D1EDE" w:rsidP="00CA4DD8">
      <w:pPr>
        <w:ind w:firstLine="709"/>
        <w:jc w:val="center"/>
        <w:rPr>
          <w:b/>
          <w:sz w:val="24"/>
          <w:szCs w:val="24"/>
        </w:rPr>
      </w:pPr>
      <w:r>
        <w:rPr>
          <w:b/>
          <w:sz w:val="24"/>
          <w:szCs w:val="24"/>
        </w:rPr>
        <w:t>2</w:t>
      </w:r>
      <w:r w:rsidR="00E302FE" w:rsidRPr="00E302FE">
        <w:rPr>
          <w:b/>
          <w:sz w:val="24"/>
          <w:szCs w:val="24"/>
        </w:rPr>
        <w:t>. ДЕКЛАРАЦИЯ О РИСКАХ,</w:t>
      </w:r>
    </w:p>
    <w:p w:rsidR="00E302FE" w:rsidRPr="00E302FE" w:rsidRDefault="00E302FE" w:rsidP="00CA4DD8">
      <w:pPr>
        <w:ind w:firstLine="709"/>
        <w:jc w:val="center"/>
        <w:rPr>
          <w:b/>
          <w:sz w:val="24"/>
          <w:szCs w:val="24"/>
        </w:rPr>
      </w:pPr>
      <w:r w:rsidRPr="00E302FE">
        <w:rPr>
          <w:b/>
          <w:sz w:val="24"/>
          <w:szCs w:val="24"/>
        </w:rPr>
        <w:t>СВЯЗАННЫХ С НЕОСВЕДОМЛЕННОСТЬЮ</w:t>
      </w:r>
    </w:p>
    <w:p w:rsidR="00E302FE" w:rsidRPr="00E302FE" w:rsidRDefault="00E302FE" w:rsidP="00CA4DD8">
      <w:pPr>
        <w:ind w:firstLine="709"/>
        <w:jc w:val="center"/>
        <w:rPr>
          <w:b/>
          <w:sz w:val="24"/>
          <w:szCs w:val="24"/>
        </w:rPr>
      </w:pPr>
      <w:r w:rsidRPr="00E302FE">
        <w:rPr>
          <w:b/>
          <w:sz w:val="24"/>
          <w:szCs w:val="24"/>
        </w:rPr>
        <w:t>КЛИЕНТА (ПОЛУЧАТЕЛЯ ФИНАНСОВЫХ УСЛУГ</w:t>
      </w:r>
      <w:r w:rsidRPr="00E302FE">
        <w:rPr>
          <w:rStyle w:val="af8"/>
          <w:b/>
          <w:sz w:val="24"/>
          <w:szCs w:val="24"/>
        </w:rPr>
        <w:footnoteReference w:id="1"/>
      </w:r>
      <w:r w:rsidRPr="00E302FE">
        <w:rPr>
          <w:b/>
          <w:sz w:val="24"/>
          <w:szCs w:val="24"/>
        </w:rPr>
        <w:t>)</w:t>
      </w:r>
    </w:p>
    <w:p w:rsidR="00E302FE" w:rsidRPr="00CA4DD8" w:rsidRDefault="00E302FE" w:rsidP="00CA4DD8">
      <w:pPr>
        <w:ind w:firstLine="709"/>
        <w:jc w:val="both"/>
        <w:rPr>
          <w:sz w:val="24"/>
          <w:szCs w:val="24"/>
        </w:rPr>
      </w:pPr>
    </w:p>
    <w:p w:rsidR="00E302FE" w:rsidRPr="00E302FE" w:rsidRDefault="00E302FE" w:rsidP="00E302FE">
      <w:pPr>
        <w:ind w:firstLine="709"/>
        <w:jc w:val="both"/>
        <w:rPr>
          <w:b/>
          <w:sz w:val="24"/>
          <w:szCs w:val="24"/>
        </w:rPr>
      </w:pPr>
      <w:r w:rsidRPr="00E302FE">
        <w:rPr>
          <w:b/>
          <w:sz w:val="24"/>
          <w:szCs w:val="24"/>
        </w:rPr>
        <w:lastRenderedPageBreak/>
        <w:t>С целью исключения рисков, связанных с неосведомленностью Клиента (пол</w:t>
      </w:r>
      <w:r w:rsidRPr="00E302FE">
        <w:rPr>
          <w:b/>
          <w:sz w:val="24"/>
          <w:szCs w:val="24"/>
        </w:rPr>
        <w:t>у</w:t>
      </w:r>
      <w:r w:rsidRPr="00E302FE">
        <w:rPr>
          <w:b/>
          <w:sz w:val="24"/>
          <w:szCs w:val="24"/>
        </w:rPr>
        <w:t>чателя финансовых услуг) о важных аспектах заключения, исполнения и прекращения договора о брокерском обслуживании, Банк дополнительно информирует Клиента (п</w:t>
      </w:r>
      <w:r w:rsidRPr="00E302FE">
        <w:rPr>
          <w:b/>
          <w:sz w:val="24"/>
          <w:szCs w:val="24"/>
        </w:rPr>
        <w:t>о</w:t>
      </w:r>
      <w:r w:rsidRPr="00E302FE">
        <w:rPr>
          <w:b/>
          <w:sz w:val="24"/>
          <w:szCs w:val="24"/>
        </w:rPr>
        <w:t>лучателя финансовых услуг) о нижеследующем:</w:t>
      </w:r>
    </w:p>
    <w:p w:rsidR="00E302FE" w:rsidRPr="00E302FE" w:rsidRDefault="00E302FE" w:rsidP="00E302FE">
      <w:pPr>
        <w:ind w:firstLine="709"/>
        <w:jc w:val="both"/>
        <w:rPr>
          <w:sz w:val="24"/>
          <w:szCs w:val="24"/>
        </w:rPr>
      </w:pPr>
    </w:p>
    <w:p w:rsidR="00E302FE" w:rsidRPr="00E302FE" w:rsidRDefault="0016418D" w:rsidP="00E302FE">
      <w:pPr>
        <w:ind w:firstLine="709"/>
        <w:jc w:val="both"/>
        <w:rPr>
          <w:sz w:val="24"/>
          <w:szCs w:val="24"/>
        </w:rPr>
      </w:pPr>
      <w:r>
        <w:rPr>
          <w:sz w:val="24"/>
          <w:szCs w:val="24"/>
        </w:rPr>
        <w:t>2</w:t>
      </w:r>
      <w:r w:rsidR="00E302FE" w:rsidRPr="00E302FE">
        <w:rPr>
          <w:sz w:val="24"/>
          <w:szCs w:val="24"/>
        </w:rPr>
        <w:t>.1. Информация об общем характере и источниках конфликта интересов:</w:t>
      </w:r>
    </w:p>
    <w:p w:rsidR="00E302FE" w:rsidRDefault="00E302FE" w:rsidP="00E302FE">
      <w:pPr>
        <w:ind w:firstLine="709"/>
        <w:jc w:val="both"/>
        <w:rPr>
          <w:sz w:val="24"/>
          <w:szCs w:val="24"/>
        </w:rPr>
      </w:pPr>
      <w:r w:rsidRPr="00E302FE">
        <w:rPr>
          <w:sz w:val="24"/>
          <w:szCs w:val="24"/>
        </w:rPr>
        <w:t>Банк уведомляет Клиента о том, что Банк и (или) лица, входящие в одну группу лиц с Банком (в соответствии со статьей 9 Федерального закона от 26 июля 2006 г. № 135-ФЗ «О защите конкуренции»), могут состоять и будут продолжать находиться в договорных отн</w:t>
      </w:r>
      <w:r w:rsidRPr="00E302FE">
        <w:rPr>
          <w:sz w:val="24"/>
          <w:szCs w:val="24"/>
        </w:rPr>
        <w:t>о</w:t>
      </w:r>
      <w:r w:rsidRPr="00E302FE">
        <w:rPr>
          <w:sz w:val="24"/>
          <w:szCs w:val="24"/>
        </w:rPr>
        <w:t>шениях по оказанию брокерских и депозитарных услуг, услуг по размещению ценных бумаг, услуг маркет-мейкера, иных услуг третьим лицам, при этом:</w:t>
      </w:r>
    </w:p>
    <w:tbl>
      <w:tblPr>
        <w:tblW w:w="9747" w:type="dxa"/>
        <w:tblLook w:val="04A0"/>
      </w:tblPr>
      <w:tblGrid>
        <w:gridCol w:w="817"/>
        <w:gridCol w:w="296"/>
        <w:gridCol w:w="8634"/>
      </w:tblGrid>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16418D" w:rsidRPr="00292985" w:rsidRDefault="0016418D" w:rsidP="00B312D0">
            <w:pPr>
              <w:jc w:val="both"/>
              <w:rPr>
                <w:sz w:val="24"/>
                <w:szCs w:val="24"/>
              </w:rPr>
            </w:pPr>
            <w:r w:rsidRPr="00E302FE">
              <w:rPr>
                <w:sz w:val="24"/>
                <w:szCs w:val="24"/>
              </w:rPr>
              <w:t>Банк оказывает третьим лицам услуги, аналогичные тем, которые он оказывает Клиенту по договору о брокерском обслуживании;</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Банк осуществляет сделки и иные операции с ценными бумагами, в том числе по поручениям третьих лиц, в интересах третьих лиц и в собственных интересах в порядке совмещения различных видов профессиональной деятельности на рынке ценных бумаг согласно законодательству Российской Федерации;</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сделки и иные операции с ценными бумагами, совершаемые в интересах третьих лиц, могут осуществляться Банком на условиях и за вознаграждение, отличных от условий и вознаграждения по аналогичным услугам, оказываемым Клиенту по договору о брокерском обслуживании;</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сделки и иные операции с ценными бумагами, совершаемые в интересах третьих лиц или в собственных интересах Банка, могут создать конфликт интересов ме</w:t>
            </w:r>
            <w:r w:rsidRPr="00E302FE">
              <w:rPr>
                <w:sz w:val="24"/>
                <w:szCs w:val="24"/>
              </w:rPr>
              <w:t>ж</w:t>
            </w:r>
            <w:r w:rsidRPr="00E302FE">
              <w:rPr>
                <w:sz w:val="24"/>
                <w:szCs w:val="24"/>
              </w:rPr>
              <w:t>ду имущественными и иными интересами Банка и Клиента.</w:t>
            </w:r>
          </w:p>
        </w:tc>
      </w:tr>
    </w:tbl>
    <w:p w:rsidR="00E302FE" w:rsidRPr="00E302FE" w:rsidRDefault="00E302FE" w:rsidP="00E302FE">
      <w:pPr>
        <w:ind w:firstLine="709"/>
        <w:jc w:val="both"/>
        <w:rPr>
          <w:sz w:val="24"/>
          <w:szCs w:val="24"/>
        </w:rPr>
      </w:pPr>
      <w:r w:rsidRPr="00E302FE">
        <w:rPr>
          <w:sz w:val="24"/>
          <w:szCs w:val="24"/>
        </w:rPr>
        <w:t>Банк уведомляет Клиента о том, что исполнение поручения Клиента на совершение сделки с ценными бумагами, эмитентом которых является лицо, входящее в одну группу лиц с Банком, может создать конфликт между имущественными и иными интересами Банка и Клиента в силу нахождения Банка в одной группе лиц с эмитентом ценной бумаги.</w:t>
      </w:r>
    </w:p>
    <w:p w:rsidR="00E302FE" w:rsidRPr="00E302FE" w:rsidRDefault="00E302FE" w:rsidP="00E302FE">
      <w:pPr>
        <w:ind w:firstLine="709"/>
        <w:jc w:val="both"/>
        <w:rPr>
          <w:sz w:val="24"/>
          <w:szCs w:val="24"/>
        </w:rPr>
      </w:pPr>
      <w:r w:rsidRPr="00E302FE">
        <w:rPr>
          <w:sz w:val="24"/>
          <w:szCs w:val="24"/>
        </w:rPr>
        <w:t>Банк уведомляет Клиента о том, что, исполняя поручение Клиента, Банк может дейс</w:t>
      </w:r>
      <w:r w:rsidRPr="00E302FE">
        <w:rPr>
          <w:sz w:val="24"/>
          <w:szCs w:val="24"/>
        </w:rPr>
        <w:t>т</w:t>
      </w:r>
      <w:r w:rsidRPr="00E302FE">
        <w:rPr>
          <w:sz w:val="24"/>
          <w:szCs w:val="24"/>
        </w:rPr>
        <w:t>вовать в качестве обеих сторон по Сделке. При этом в качестве другой стороны по Сделке Банк может действовать как за свой счет, так и за счет третьего лица, входящего в одну группу лиц с Банком, в связи с чем может возникнуть конфликт интересов между имущес</w:t>
      </w:r>
      <w:r w:rsidRPr="00E302FE">
        <w:rPr>
          <w:sz w:val="24"/>
          <w:szCs w:val="24"/>
        </w:rPr>
        <w:t>т</w:t>
      </w:r>
      <w:r w:rsidRPr="00E302FE">
        <w:rPr>
          <w:sz w:val="24"/>
          <w:szCs w:val="24"/>
        </w:rPr>
        <w:t>венными и иными интересами Клиента и Банком, действующим от своего имени и за свой счет или за счет лица, входящего с ним в одну группу лиц.</w:t>
      </w:r>
    </w:p>
    <w:p w:rsidR="00E302FE" w:rsidRDefault="00E302FE" w:rsidP="00E302FE">
      <w:pPr>
        <w:ind w:firstLine="709"/>
        <w:jc w:val="both"/>
        <w:rPr>
          <w:sz w:val="24"/>
          <w:szCs w:val="24"/>
        </w:rPr>
      </w:pPr>
      <w:r w:rsidRPr="00E302FE">
        <w:rPr>
          <w:sz w:val="24"/>
          <w:szCs w:val="24"/>
        </w:rPr>
        <w:t>Банк уведомляет Клиента о том, что при осуществлении деятельности по инвестиц</w:t>
      </w:r>
      <w:r w:rsidRPr="00E302FE">
        <w:rPr>
          <w:sz w:val="24"/>
          <w:szCs w:val="24"/>
        </w:rPr>
        <w:t>и</w:t>
      </w:r>
      <w:r w:rsidRPr="00E302FE">
        <w:rPr>
          <w:sz w:val="24"/>
          <w:szCs w:val="24"/>
        </w:rPr>
        <w:t>онному консультированию конфликт интересов возможен в том числе в следующих случаях:</w:t>
      </w:r>
    </w:p>
    <w:tbl>
      <w:tblPr>
        <w:tblW w:w="9747" w:type="dxa"/>
        <w:tblLook w:val="04A0"/>
      </w:tblPr>
      <w:tblGrid>
        <w:gridCol w:w="817"/>
        <w:gridCol w:w="296"/>
        <w:gridCol w:w="8634"/>
      </w:tblGrid>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16418D" w:rsidRPr="00292985" w:rsidRDefault="0016418D" w:rsidP="00B312D0">
            <w:pPr>
              <w:jc w:val="both"/>
              <w:rPr>
                <w:sz w:val="24"/>
                <w:szCs w:val="24"/>
              </w:rPr>
            </w:pPr>
            <w:r w:rsidRPr="00E302FE">
              <w:rPr>
                <w:sz w:val="24"/>
                <w:szCs w:val="24"/>
              </w:rPr>
              <w:t>в случае предоставления индивидуальной инвестиционной рекомендации, с</w:t>
            </w:r>
            <w:r w:rsidRPr="00E302FE">
              <w:rPr>
                <w:sz w:val="24"/>
                <w:szCs w:val="24"/>
              </w:rPr>
              <w:t>о</w:t>
            </w:r>
            <w:r w:rsidRPr="00E302FE">
              <w:rPr>
                <w:sz w:val="24"/>
                <w:szCs w:val="24"/>
              </w:rPr>
              <w:t>держащей описание ценных бумаг, сделок с ними, если Банк владеет такими же ценными бумагами или намерен совершить с ними сделку;</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sidRPr="00292985">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в случае если Банк является стороной договора, являющегося производным ф</w:t>
            </w:r>
            <w:r w:rsidRPr="00E302FE">
              <w:rPr>
                <w:sz w:val="24"/>
                <w:szCs w:val="24"/>
              </w:rPr>
              <w:t>и</w:t>
            </w:r>
            <w:r w:rsidRPr="00E302FE">
              <w:rPr>
                <w:sz w:val="24"/>
                <w:szCs w:val="24"/>
              </w:rPr>
              <w:t>нансовым инструментом, базовым активом которого являются ценные бумаги, описание которых содержится в индивидуальной инвестиционной рекомендации;</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в случае предоставления индивидуальной инвестиционной рекомендации, с</w:t>
            </w:r>
            <w:r w:rsidRPr="00E302FE">
              <w:rPr>
                <w:sz w:val="24"/>
                <w:szCs w:val="24"/>
              </w:rPr>
              <w:t>о</w:t>
            </w:r>
            <w:r w:rsidRPr="00E302FE">
              <w:rPr>
                <w:sz w:val="24"/>
                <w:szCs w:val="24"/>
              </w:rPr>
              <w:t>держащей описание сделок с ценными бумагами, контрагентами Клиента по к</w:t>
            </w:r>
            <w:r w:rsidRPr="00E302FE">
              <w:rPr>
                <w:sz w:val="24"/>
                <w:szCs w:val="24"/>
              </w:rPr>
              <w:t>о</w:t>
            </w:r>
            <w:r w:rsidRPr="00E302FE">
              <w:rPr>
                <w:sz w:val="24"/>
                <w:szCs w:val="24"/>
              </w:rPr>
              <w:t>торым будут являться другие Клиенты Банка или если указанные сделки будут совершаться при участии других Клиентов Банка;</w:t>
            </w:r>
          </w:p>
        </w:tc>
      </w:tr>
      <w:tr w:rsidR="0016418D" w:rsidRPr="00292985"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292985" w:rsidRDefault="0016418D" w:rsidP="00B312D0">
            <w:pPr>
              <w:jc w:val="both"/>
              <w:rPr>
                <w:bCs/>
                <w:sz w:val="24"/>
                <w:szCs w:val="24"/>
              </w:rPr>
            </w:pPr>
            <w:r w:rsidRPr="00E302FE">
              <w:rPr>
                <w:sz w:val="24"/>
                <w:szCs w:val="24"/>
              </w:rPr>
              <w:t>в случае предоставления индивидуальной инвестиционной рекомендации, с</w:t>
            </w:r>
            <w:r w:rsidRPr="00E302FE">
              <w:rPr>
                <w:sz w:val="24"/>
                <w:szCs w:val="24"/>
              </w:rPr>
              <w:t>о</w:t>
            </w:r>
            <w:r w:rsidRPr="00E302FE">
              <w:rPr>
                <w:sz w:val="24"/>
                <w:szCs w:val="24"/>
              </w:rPr>
              <w:t>держащей описание сделок с финансовыми инструментами, если в случае испо</w:t>
            </w:r>
            <w:r w:rsidRPr="00E302FE">
              <w:rPr>
                <w:sz w:val="24"/>
                <w:szCs w:val="24"/>
              </w:rPr>
              <w:t>л</w:t>
            </w:r>
            <w:r w:rsidRPr="00E302FE">
              <w:rPr>
                <w:sz w:val="24"/>
                <w:szCs w:val="24"/>
              </w:rPr>
              <w:t>нения указанной рекомендации сделка с финансовыми инструментами будет с</w:t>
            </w:r>
            <w:r w:rsidRPr="00E302FE">
              <w:rPr>
                <w:sz w:val="24"/>
                <w:szCs w:val="24"/>
              </w:rPr>
              <w:t>о</w:t>
            </w:r>
            <w:r w:rsidRPr="00E302FE">
              <w:rPr>
                <w:sz w:val="24"/>
                <w:szCs w:val="24"/>
              </w:rPr>
              <w:t>вершена при участии Банка;</w:t>
            </w:r>
          </w:p>
        </w:tc>
      </w:tr>
      <w:tr w:rsidR="0016418D" w:rsidRPr="00C53CDC"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C53CDC" w:rsidRDefault="0016418D" w:rsidP="00B312D0">
            <w:pPr>
              <w:jc w:val="both"/>
              <w:rPr>
                <w:sz w:val="24"/>
                <w:szCs w:val="24"/>
              </w:rPr>
            </w:pPr>
            <w:r w:rsidRPr="00E302FE">
              <w:rPr>
                <w:sz w:val="24"/>
                <w:szCs w:val="24"/>
              </w:rPr>
              <w:t>в случае заключения Банком договоров с третьими лицами, предусматривающих выплату вознаграждений за предоставление Клиентам индивидуальных инвест</w:t>
            </w:r>
            <w:r w:rsidRPr="00E302FE">
              <w:rPr>
                <w:sz w:val="24"/>
                <w:szCs w:val="24"/>
              </w:rPr>
              <w:t>и</w:t>
            </w:r>
            <w:r w:rsidRPr="00E302FE">
              <w:rPr>
                <w:sz w:val="24"/>
                <w:szCs w:val="24"/>
              </w:rPr>
              <w:t xml:space="preserve">ционных рекомендаций </w:t>
            </w:r>
            <w:r w:rsidRPr="00E302FE">
              <w:rPr>
                <w:i/>
                <w:sz w:val="24"/>
                <w:szCs w:val="24"/>
              </w:rPr>
              <w:t xml:space="preserve">(при наличии у Банка договоров с третьими лицами, </w:t>
            </w:r>
            <w:r w:rsidRPr="00E302FE">
              <w:rPr>
                <w:i/>
                <w:sz w:val="24"/>
                <w:szCs w:val="24"/>
              </w:rPr>
              <w:lastRenderedPageBreak/>
              <w:t>предусматривающих вознаграждение за предоставление Клиентам индивид</w:t>
            </w:r>
            <w:r w:rsidRPr="00E302FE">
              <w:rPr>
                <w:i/>
                <w:sz w:val="24"/>
                <w:szCs w:val="24"/>
              </w:rPr>
              <w:t>у</w:t>
            </w:r>
            <w:r w:rsidRPr="00E302FE">
              <w:rPr>
                <w:i/>
                <w:sz w:val="24"/>
                <w:szCs w:val="24"/>
              </w:rPr>
              <w:t>альных инвестиционных рекомендаций, Банк обязан уведомить Клиента о нал</w:t>
            </w:r>
            <w:r w:rsidRPr="00E302FE">
              <w:rPr>
                <w:i/>
                <w:sz w:val="24"/>
                <w:szCs w:val="24"/>
              </w:rPr>
              <w:t>и</w:t>
            </w:r>
            <w:r w:rsidRPr="00E302FE">
              <w:rPr>
                <w:i/>
                <w:sz w:val="24"/>
                <w:szCs w:val="24"/>
              </w:rPr>
              <w:t>чии таких договоров одновременно с предоставлением индивидуальной инвест</w:t>
            </w:r>
            <w:r w:rsidRPr="00E302FE">
              <w:rPr>
                <w:i/>
                <w:sz w:val="24"/>
                <w:szCs w:val="24"/>
              </w:rPr>
              <w:t>и</w:t>
            </w:r>
            <w:r w:rsidRPr="00E302FE">
              <w:rPr>
                <w:i/>
                <w:sz w:val="24"/>
                <w:szCs w:val="24"/>
              </w:rPr>
              <w:t>ционной рекомендации)</w:t>
            </w:r>
            <w:r w:rsidRPr="00E302FE">
              <w:rPr>
                <w:sz w:val="24"/>
                <w:szCs w:val="24"/>
              </w:rPr>
              <w:t>;</w:t>
            </w:r>
          </w:p>
        </w:tc>
      </w:tr>
      <w:tr w:rsidR="0016418D" w:rsidRPr="00C53CDC"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C53CDC" w:rsidRDefault="0016418D" w:rsidP="00B312D0">
            <w:pPr>
              <w:jc w:val="both"/>
              <w:rPr>
                <w:sz w:val="24"/>
                <w:szCs w:val="24"/>
              </w:rPr>
            </w:pPr>
            <w:r w:rsidRPr="00E302FE">
              <w:rPr>
                <w:sz w:val="24"/>
                <w:szCs w:val="24"/>
              </w:rPr>
              <w:t>в случае заключения Банком договоров с третьими лицами, предусматривающих выплату вознаграждения Банку, и (или) предоставление иных имущественных благ, и (или) освобождение от обязанности совершить определенные действия, в случае совершения Клиентами и (или) за их счет действий, предусмотренных и</w:t>
            </w:r>
            <w:r w:rsidRPr="00E302FE">
              <w:rPr>
                <w:sz w:val="24"/>
                <w:szCs w:val="24"/>
              </w:rPr>
              <w:t>н</w:t>
            </w:r>
            <w:r w:rsidRPr="00E302FE">
              <w:rPr>
                <w:sz w:val="24"/>
                <w:szCs w:val="24"/>
              </w:rPr>
              <w:t xml:space="preserve">дивидуальными инвестиционными рекомендациями </w:t>
            </w:r>
            <w:r w:rsidRPr="00E302FE">
              <w:rPr>
                <w:i/>
                <w:sz w:val="24"/>
                <w:szCs w:val="24"/>
              </w:rPr>
              <w:t>(при наличии у Банка дог</w:t>
            </w:r>
            <w:r w:rsidRPr="00E302FE">
              <w:rPr>
                <w:i/>
                <w:sz w:val="24"/>
                <w:szCs w:val="24"/>
              </w:rPr>
              <w:t>о</w:t>
            </w:r>
            <w:r w:rsidRPr="00E302FE">
              <w:rPr>
                <w:i/>
                <w:sz w:val="24"/>
                <w:szCs w:val="24"/>
              </w:rPr>
              <w:t>воров с третьими лицами, предусматривающих вознаграждение за предоста</w:t>
            </w:r>
            <w:r w:rsidRPr="00E302FE">
              <w:rPr>
                <w:i/>
                <w:sz w:val="24"/>
                <w:szCs w:val="24"/>
              </w:rPr>
              <w:t>в</w:t>
            </w:r>
            <w:r w:rsidRPr="00E302FE">
              <w:rPr>
                <w:i/>
                <w:sz w:val="24"/>
                <w:szCs w:val="24"/>
              </w:rPr>
              <w:t>ление Клиентам индивидуальных инвестиционных рекомендаций, Банк обязан уведомить Клиента о наличии таких договоров одновременно с предоставлен</w:t>
            </w:r>
            <w:r w:rsidRPr="00E302FE">
              <w:rPr>
                <w:i/>
                <w:sz w:val="24"/>
                <w:szCs w:val="24"/>
              </w:rPr>
              <w:t>и</w:t>
            </w:r>
            <w:r w:rsidRPr="00E302FE">
              <w:rPr>
                <w:i/>
                <w:sz w:val="24"/>
                <w:szCs w:val="24"/>
              </w:rPr>
              <w:t>ем индивидуальной инвестиционной рекомендации)</w:t>
            </w:r>
            <w:r w:rsidRPr="00E302FE">
              <w:rPr>
                <w:sz w:val="24"/>
                <w:szCs w:val="24"/>
              </w:rPr>
              <w:t>;</w:t>
            </w:r>
          </w:p>
        </w:tc>
      </w:tr>
      <w:tr w:rsidR="0016418D" w:rsidRPr="00C53CDC"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C53CDC" w:rsidRDefault="0016418D" w:rsidP="00B312D0">
            <w:pPr>
              <w:jc w:val="both"/>
              <w:rPr>
                <w:sz w:val="24"/>
                <w:szCs w:val="24"/>
              </w:rPr>
            </w:pPr>
            <w:r w:rsidRPr="00E302FE">
              <w:rPr>
                <w:sz w:val="24"/>
                <w:szCs w:val="24"/>
              </w:rPr>
              <w:t>в случае предоставления индивидуальной инвестиционной рекомендации, с</w:t>
            </w:r>
            <w:r w:rsidRPr="00E302FE">
              <w:rPr>
                <w:sz w:val="24"/>
                <w:szCs w:val="24"/>
              </w:rPr>
              <w:t>о</w:t>
            </w:r>
            <w:r w:rsidRPr="00E302FE">
              <w:rPr>
                <w:sz w:val="24"/>
                <w:szCs w:val="24"/>
              </w:rPr>
              <w:t>держащей описание ценных бумаг, сделок с ценными бумагами, эмитентом или обязанным лицом по которым является Банк или его аффилированное лицо;</w:t>
            </w:r>
          </w:p>
        </w:tc>
      </w:tr>
      <w:tr w:rsidR="0016418D" w:rsidRPr="00C53CDC" w:rsidTr="00B312D0">
        <w:tc>
          <w:tcPr>
            <w:tcW w:w="817" w:type="dxa"/>
          </w:tcPr>
          <w:p w:rsidR="0016418D" w:rsidRPr="00292985" w:rsidRDefault="0016418D" w:rsidP="00B312D0">
            <w:pPr>
              <w:pStyle w:val="Default"/>
              <w:rPr>
                <w:rFonts w:ascii="Times New Roman" w:hAnsi="Times New Roman" w:cs="Times New Roman"/>
                <w:bCs/>
              </w:rPr>
            </w:pPr>
          </w:p>
        </w:tc>
        <w:tc>
          <w:tcPr>
            <w:tcW w:w="296" w:type="dxa"/>
          </w:tcPr>
          <w:p w:rsidR="0016418D" w:rsidRPr="00292985" w:rsidRDefault="0016418D" w:rsidP="00B312D0">
            <w:pPr>
              <w:pStyle w:val="Default"/>
              <w:rPr>
                <w:rFonts w:ascii="Times New Roman" w:hAnsi="Times New Roman" w:cs="Times New Roman"/>
                <w:bCs/>
              </w:rPr>
            </w:pPr>
            <w:r>
              <w:rPr>
                <w:rFonts w:ascii="Times New Roman" w:hAnsi="Times New Roman" w:cs="Times New Roman"/>
                <w:bCs/>
              </w:rPr>
              <w:t>-</w:t>
            </w:r>
          </w:p>
        </w:tc>
        <w:tc>
          <w:tcPr>
            <w:tcW w:w="8634" w:type="dxa"/>
          </w:tcPr>
          <w:p w:rsidR="0016418D" w:rsidRPr="00C53CDC" w:rsidRDefault="0016418D" w:rsidP="00B312D0">
            <w:pPr>
              <w:jc w:val="both"/>
              <w:rPr>
                <w:sz w:val="24"/>
                <w:szCs w:val="24"/>
              </w:rPr>
            </w:pPr>
            <w:r w:rsidRPr="00E302FE">
              <w:rPr>
                <w:sz w:val="24"/>
                <w:szCs w:val="24"/>
              </w:rPr>
              <w:t>в случае предоставления индивидуальной инвестиционной рекомендации, с</w:t>
            </w:r>
            <w:r w:rsidRPr="00E302FE">
              <w:rPr>
                <w:sz w:val="24"/>
                <w:szCs w:val="24"/>
              </w:rPr>
              <w:t>о</w:t>
            </w:r>
            <w:r w:rsidRPr="00E302FE">
              <w:rPr>
                <w:sz w:val="24"/>
                <w:szCs w:val="24"/>
              </w:rPr>
              <w:t>держащей описание сделок с ценными бумагами, контрагентами Клиента по к</w:t>
            </w:r>
            <w:r w:rsidRPr="00E302FE">
              <w:rPr>
                <w:sz w:val="24"/>
                <w:szCs w:val="24"/>
              </w:rPr>
              <w:t>о</w:t>
            </w:r>
            <w:r w:rsidRPr="00E302FE">
              <w:rPr>
                <w:sz w:val="24"/>
                <w:szCs w:val="24"/>
              </w:rPr>
              <w:t>торым будут являться аффилированные лица Банка, или если указанные сделки будут совершаться при участии аффилированных лиц Банка.</w:t>
            </w:r>
          </w:p>
        </w:tc>
      </w:tr>
    </w:tbl>
    <w:p w:rsidR="00E302FE" w:rsidRPr="00E302FE" w:rsidRDefault="00E302FE" w:rsidP="00E302FE">
      <w:pPr>
        <w:ind w:firstLine="709"/>
        <w:jc w:val="both"/>
        <w:rPr>
          <w:sz w:val="24"/>
          <w:szCs w:val="24"/>
        </w:rPr>
      </w:pPr>
      <w:r w:rsidRPr="00E302FE">
        <w:rPr>
          <w:sz w:val="24"/>
          <w:szCs w:val="24"/>
        </w:rPr>
        <w:t>В целях предотвращения конфликта интересов при осуществлении профессиональной деятельности на рынке ценных бумаг и уменьшения его возможных негативных последствий Банк при осуществлении профессиональной деятельности на рынке ценных бумаг обязуется соблюдать принцип приоритета интересов Клиентов над собственными интересами Банка и принцип равного и справедливого отношения к Клиентам с учетом установленных для ра</w:t>
      </w:r>
      <w:r w:rsidRPr="00E302FE">
        <w:rPr>
          <w:sz w:val="24"/>
          <w:szCs w:val="24"/>
        </w:rPr>
        <w:t>з</w:t>
      </w:r>
      <w:r w:rsidRPr="00E302FE">
        <w:rPr>
          <w:sz w:val="24"/>
          <w:szCs w:val="24"/>
        </w:rPr>
        <w:t>личных категорий Клиентов условий обслуживания и особенностей рыночной ситуации.</w:t>
      </w:r>
    </w:p>
    <w:p w:rsidR="00E302FE" w:rsidRPr="00E302FE" w:rsidRDefault="00E302FE" w:rsidP="00E302FE">
      <w:pPr>
        <w:ind w:firstLine="709"/>
        <w:jc w:val="both"/>
        <w:rPr>
          <w:sz w:val="24"/>
          <w:szCs w:val="24"/>
        </w:rPr>
      </w:pPr>
      <w:r w:rsidRPr="00E302FE">
        <w:rPr>
          <w:sz w:val="24"/>
          <w:szCs w:val="24"/>
        </w:rPr>
        <w:t>Для исключения риска возникновения конфликта интересов и риска неправомерных действий в отношении имущества Клиента не допускается оформление Клиентом довере</w:t>
      </w:r>
      <w:r w:rsidRPr="00E302FE">
        <w:rPr>
          <w:sz w:val="24"/>
          <w:szCs w:val="24"/>
        </w:rPr>
        <w:t>н</w:t>
      </w:r>
      <w:r w:rsidRPr="00E302FE">
        <w:rPr>
          <w:sz w:val="24"/>
          <w:szCs w:val="24"/>
        </w:rPr>
        <w:t>ности на работников Банка, за исключением случаев, которые прямо предусмотрены док</w:t>
      </w:r>
      <w:r w:rsidRPr="00E302FE">
        <w:rPr>
          <w:sz w:val="24"/>
          <w:szCs w:val="24"/>
        </w:rPr>
        <w:t>у</w:t>
      </w:r>
      <w:r w:rsidRPr="00E302FE">
        <w:rPr>
          <w:sz w:val="24"/>
          <w:szCs w:val="24"/>
        </w:rPr>
        <w:t>ментами, регулирующими взаимоотношения между Банком и Клиентом, и обеспечивают реализацию прав Клиента в отношении его имущества.</w:t>
      </w:r>
    </w:p>
    <w:p w:rsidR="00E302FE" w:rsidRPr="00E302FE" w:rsidRDefault="00E302FE" w:rsidP="00E302FE">
      <w:pPr>
        <w:ind w:firstLine="709"/>
        <w:jc w:val="both"/>
        <w:rPr>
          <w:sz w:val="24"/>
          <w:szCs w:val="24"/>
        </w:rPr>
      </w:pPr>
      <w:r w:rsidRPr="00E302FE">
        <w:rPr>
          <w:sz w:val="24"/>
          <w:szCs w:val="24"/>
        </w:rPr>
        <w:t>Банк принимает все разумные и доступные в каждом из вышеуказанных случаев меры по выявлению и контролю конфликта интересов, меры по предотвращению его последствий и разрешению соответствующего конфликта интересов в пользу Клиента.</w:t>
      </w:r>
    </w:p>
    <w:p w:rsidR="00E302FE" w:rsidRDefault="00E302FE" w:rsidP="00E302FE">
      <w:pPr>
        <w:ind w:firstLine="709"/>
        <w:jc w:val="both"/>
        <w:rPr>
          <w:sz w:val="24"/>
          <w:szCs w:val="24"/>
        </w:rPr>
      </w:pPr>
    </w:p>
    <w:p w:rsidR="00D93B9A" w:rsidRDefault="00D93B9A" w:rsidP="00E302FE">
      <w:pPr>
        <w:ind w:firstLine="709"/>
        <w:jc w:val="both"/>
        <w:rPr>
          <w:sz w:val="24"/>
          <w:szCs w:val="24"/>
        </w:rPr>
      </w:pPr>
      <w:r>
        <w:rPr>
          <w:sz w:val="24"/>
          <w:szCs w:val="24"/>
        </w:rPr>
        <w:t xml:space="preserve">2.2. </w:t>
      </w:r>
      <w:r w:rsidRPr="00D93B9A">
        <w:rPr>
          <w:sz w:val="24"/>
          <w:szCs w:val="24"/>
        </w:rPr>
        <w:t>Банк уведомляет о недопустимости неправомерного использования инсайдерской информации и запрете на осуществление действий, относящихся к манипулированию ры</w:t>
      </w:r>
      <w:r w:rsidRPr="00D93B9A">
        <w:rPr>
          <w:sz w:val="24"/>
          <w:szCs w:val="24"/>
        </w:rPr>
        <w:t>н</w:t>
      </w:r>
      <w:r w:rsidRPr="00D93B9A">
        <w:rPr>
          <w:sz w:val="24"/>
          <w:szCs w:val="24"/>
        </w:rPr>
        <w:t xml:space="preserve">ком в соответствии с Федеральным законом от 27 июля </w:t>
      </w:r>
      <w:smartTag w:uri="urn:schemas-microsoft-com:office:smarttags" w:element="metricconverter">
        <w:smartTagPr>
          <w:attr w:name="ProductID" w:val="2012 г"/>
        </w:smartTagPr>
        <w:r w:rsidRPr="00D93B9A">
          <w:rPr>
            <w:sz w:val="24"/>
            <w:szCs w:val="24"/>
          </w:rPr>
          <w:t>2010 г</w:t>
        </w:r>
      </w:smartTag>
      <w:r w:rsidRPr="00D93B9A">
        <w:rPr>
          <w:sz w:val="24"/>
          <w:szCs w:val="24"/>
        </w:rPr>
        <w:t>. № 224-ФЗ «О противодейс</w:t>
      </w:r>
      <w:r w:rsidRPr="00D93B9A">
        <w:rPr>
          <w:sz w:val="24"/>
          <w:szCs w:val="24"/>
        </w:rPr>
        <w:t>т</w:t>
      </w:r>
      <w:r w:rsidRPr="00D93B9A">
        <w:rPr>
          <w:sz w:val="24"/>
          <w:szCs w:val="24"/>
        </w:rPr>
        <w:t>вии неправомерному использованию инсайдерской информации и манипулированию ры</w:t>
      </w:r>
      <w:r w:rsidRPr="00D93B9A">
        <w:rPr>
          <w:sz w:val="24"/>
          <w:szCs w:val="24"/>
        </w:rPr>
        <w:t>н</w:t>
      </w:r>
      <w:r w:rsidRPr="00D93B9A">
        <w:rPr>
          <w:sz w:val="24"/>
          <w:szCs w:val="24"/>
        </w:rPr>
        <w:t>ком и о внесении изменений в отдельные законодательные акты Российской Федерации» и принятыми в соответствии с ним нормативными актами.</w:t>
      </w:r>
    </w:p>
    <w:p w:rsidR="00D93B9A" w:rsidRPr="00E302FE" w:rsidRDefault="00D93B9A" w:rsidP="00E302FE">
      <w:pPr>
        <w:ind w:firstLine="709"/>
        <w:jc w:val="both"/>
        <w:rPr>
          <w:sz w:val="24"/>
          <w:szCs w:val="24"/>
        </w:rPr>
      </w:pPr>
    </w:p>
    <w:p w:rsidR="00E302FE" w:rsidRPr="00E302FE" w:rsidRDefault="00EC4F34" w:rsidP="00E302FE">
      <w:pPr>
        <w:ind w:firstLine="709"/>
        <w:jc w:val="both"/>
        <w:rPr>
          <w:sz w:val="24"/>
          <w:szCs w:val="24"/>
        </w:rPr>
      </w:pPr>
      <w:bookmarkStart w:id="2" w:name="P60"/>
      <w:bookmarkStart w:id="3" w:name="P80"/>
      <w:bookmarkEnd w:id="2"/>
      <w:bookmarkEnd w:id="3"/>
      <w:r>
        <w:rPr>
          <w:sz w:val="24"/>
          <w:szCs w:val="24"/>
        </w:rPr>
        <w:t>2</w:t>
      </w:r>
      <w:r w:rsidR="00E302FE" w:rsidRPr="00E302FE">
        <w:rPr>
          <w:sz w:val="24"/>
          <w:szCs w:val="24"/>
        </w:rPr>
        <w:t>.</w:t>
      </w:r>
      <w:r w:rsidR="00D93B9A">
        <w:rPr>
          <w:sz w:val="24"/>
          <w:szCs w:val="24"/>
        </w:rPr>
        <w:t>3</w:t>
      </w:r>
      <w:r w:rsidR="00E302FE" w:rsidRPr="00E302FE">
        <w:rPr>
          <w:sz w:val="24"/>
          <w:szCs w:val="24"/>
        </w:rPr>
        <w:t>. Денежные средства, переданные Банку по договору о брокерском обслуживании, не подлежат страхованию в соответствии с Федеральным законом от 23 декабря 2003 г. № 177-ФЗ «О страховании вкладов в банках Российской Федерации».</w:t>
      </w:r>
    </w:p>
    <w:p w:rsidR="00E302FE" w:rsidRPr="00E302FE" w:rsidRDefault="00E302FE" w:rsidP="00E302FE">
      <w:pPr>
        <w:ind w:firstLine="709"/>
        <w:jc w:val="both"/>
        <w:rPr>
          <w:sz w:val="24"/>
          <w:szCs w:val="24"/>
        </w:rPr>
      </w:pPr>
    </w:p>
    <w:p w:rsidR="00E302FE" w:rsidRPr="00E302FE" w:rsidRDefault="000E7C0C" w:rsidP="00E302FE">
      <w:pPr>
        <w:ind w:firstLine="709"/>
        <w:jc w:val="both"/>
        <w:rPr>
          <w:sz w:val="24"/>
          <w:szCs w:val="24"/>
        </w:rPr>
      </w:pPr>
      <w:r>
        <w:rPr>
          <w:sz w:val="24"/>
          <w:szCs w:val="24"/>
        </w:rPr>
        <w:t>2</w:t>
      </w:r>
      <w:r w:rsidR="00E302FE" w:rsidRPr="00E302FE">
        <w:rPr>
          <w:sz w:val="24"/>
          <w:szCs w:val="24"/>
        </w:rPr>
        <w:t>.</w:t>
      </w:r>
      <w:r w:rsidR="00D93B9A">
        <w:rPr>
          <w:sz w:val="24"/>
          <w:szCs w:val="24"/>
        </w:rPr>
        <w:t>4</w:t>
      </w:r>
      <w:r w:rsidR="00E302FE" w:rsidRPr="00E302FE">
        <w:rPr>
          <w:sz w:val="24"/>
          <w:szCs w:val="24"/>
        </w:rPr>
        <w:t>. Информация о рисках Клиента, связанных с отсутствием отдельного учета его имущества, предоставленного в качестве обеспечения, и обязательств Банка как участника клиринга, возникших из договоров, заключенных за счет Клиента:</w:t>
      </w:r>
    </w:p>
    <w:p w:rsidR="00E302FE" w:rsidRPr="00E302FE" w:rsidRDefault="00E302FE" w:rsidP="00E302FE">
      <w:pPr>
        <w:ind w:firstLine="709"/>
        <w:jc w:val="both"/>
        <w:rPr>
          <w:sz w:val="24"/>
          <w:szCs w:val="24"/>
        </w:rPr>
      </w:pPr>
      <w:r w:rsidRPr="00E302FE">
        <w:rPr>
          <w:sz w:val="24"/>
          <w:szCs w:val="24"/>
        </w:rPr>
        <w:t>Денежные средства, переданные Клиентами Банку для исполнения и (или) обеспеч</w:t>
      </w:r>
      <w:r w:rsidRPr="00E302FE">
        <w:rPr>
          <w:sz w:val="24"/>
          <w:szCs w:val="24"/>
        </w:rPr>
        <w:t>е</w:t>
      </w:r>
      <w:r w:rsidRPr="00E302FE">
        <w:rPr>
          <w:sz w:val="24"/>
          <w:szCs w:val="24"/>
        </w:rPr>
        <w:t>ния исполнения обязательств, допущенных к клирингу, направляются на отдельный банко</w:t>
      </w:r>
      <w:r w:rsidRPr="00E302FE">
        <w:rPr>
          <w:sz w:val="24"/>
          <w:szCs w:val="24"/>
        </w:rPr>
        <w:t>в</w:t>
      </w:r>
      <w:r w:rsidRPr="00E302FE">
        <w:rPr>
          <w:sz w:val="24"/>
          <w:szCs w:val="24"/>
        </w:rPr>
        <w:t>ский счет (счета), открываемый (открываемые) Банком в другой кредитной организации (д</w:t>
      </w:r>
      <w:r w:rsidRPr="00E302FE">
        <w:rPr>
          <w:sz w:val="24"/>
          <w:szCs w:val="24"/>
        </w:rPr>
        <w:t>а</w:t>
      </w:r>
      <w:r w:rsidRPr="00E302FE">
        <w:rPr>
          <w:sz w:val="24"/>
          <w:szCs w:val="24"/>
        </w:rPr>
        <w:t>лее - специальный торговый счет участника клиринга). При этом денежные средства, пер</w:t>
      </w:r>
      <w:r w:rsidRPr="00E302FE">
        <w:rPr>
          <w:sz w:val="24"/>
          <w:szCs w:val="24"/>
        </w:rPr>
        <w:t>е</w:t>
      </w:r>
      <w:r w:rsidRPr="00E302FE">
        <w:rPr>
          <w:sz w:val="24"/>
          <w:szCs w:val="24"/>
        </w:rPr>
        <w:lastRenderedPageBreak/>
        <w:t>данные Банку каждым Клиентом, учитываются Банком во внутреннем учете отдельно. Банк обязан вести внутренний учет денежных средств, переданных ему Клиентом для исполнения и (или) обеспечения исполнения обязательств, допущенных к клирингу, отдельно по кажд</w:t>
      </w:r>
      <w:r w:rsidRPr="00E302FE">
        <w:rPr>
          <w:sz w:val="24"/>
          <w:szCs w:val="24"/>
        </w:rPr>
        <w:t>о</w:t>
      </w:r>
      <w:r w:rsidRPr="00E302FE">
        <w:rPr>
          <w:sz w:val="24"/>
          <w:szCs w:val="24"/>
        </w:rPr>
        <w:t>му Клиенту. На денежные средства Клиентов, находящиеся на специальном торговом счете участника клиринга, не может быть обращено взыскание по обязательствам Банка. Банк не вправе зачислять собственные денежные средства на специальный торговый счет участника клиринга, за исключением случаев их возврата Клиенту.</w:t>
      </w:r>
    </w:p>
    <w:p w:rsidR="00E302FE" w:rsidRPr="00E302FE" w:rsidRDefault="00E302FE" w:rsidP="00E302FE">
      <w:pPr>
        <w:ind w:firstLine="709"/>
        <w:jc w:val="both"/>
        <w:rPr>
          <w:sz w:val="24"/>
          <w:szCs w:val="24"/>
        </w:rPr>
      </w:pPr>
      <w:r w:rsidRPr="00E302FE">
        <w:rPr>
          <w:sz w:val="24"/>
          <w:szCs w:val="24"/>
        </w:rPr>
        <w:t>По требованию Клиента Банк обязан открыть в другой кредитной организации о</w:t>
      </w:r>
      <w:r w:rsidRPr="00E302FE">
        <w:rPr>
          <w:sz w:val="24"/>
          <w:szCs w:val="24"/>
        </w:rPr>
        <w:t>т</w:t>
      </w:r>
      <w:r w:rsidRPr="00E302FE">
        <w:rPr>
          <w:sz w:val="24"/>
          <w:szCs w:val="24"/>
        </w:rPr>
        <w:t>дельный специальный торговый счет участника клиринга для совершения операций с дене</w:t>
      </w:r>
      <w:r w:rsidRPr="00E302FE">
        <w:rPr>
          <w:sz w:val="24"/>
          <w:szCs w:val="24"/>
        </w:rPr>
        <w:t>ж</w:t>
      </w:r>
      <w:r w:rsidRPr="00E302FE">
        <w:rPr>
          <w:sz w:val="24"/>
          <w:szCs w:val="24"/>
        </w:rPr>
        <w:t>ными средствами такого Клиента. Денежные средства, находящиеся на указанном специал</w:t>
      </w:r>
      <w:r w:rsidRPr="00E302FE">
        <w:rPr>
          <w:sz w:val="24"/>
          <w:szCs w:val="24"/>
        </w:rPr>
        <w:t>ь</w:t>
      </w:r>
      <w:r w:rsidRPr="00E302FE">
        <w:rPr>
          <w:sz w:val="24"/>
          <w:szCs w:val="24"/>
        </w:rPr>
        <w:t>ном торговом счете, могут использоваться только для исполнения и (или) обеспечения и</w:t>
      </w:r>
      <w:r w:rsidRPr="00E302FE">
        <w:rPr>
          <w:sz w:val="24"/>
          <w:szCs w:val="24"/>
        </w:rPr>
        <w:t>с</w:t>
      </w:r>
      <w:r w:rsidRPr="00E302FE">
        <w:rPr>
          <w:sz w:val="24"/>
          <w:szCs w:val="24"/>
        </w:rPr>
        <w:t>полнения обязательств, допущенных к клирингу и возникших из договоров, заключенных за счет такого Клиента.</w:t>
      </w:r>
    </w:p>
    <w:p w:rsidR="00E302FE" w:rsidRPr="00E302FE" w:rsidRDefault="00E302FE" w:rsidP="00E302FE">
      <w:pPr>
        <w:ind w:firstLine="709"/>
        <w:jc w:val="both"/>
        <w:rPr>
          <w:sz w:val="24"/>
          <w:szCs w:val="24"/>
        </w:rPr>
      </w:pPr>
      <w:r w:rsidRPr="00E302FE">
        <w:rPr>
          <w:sz w:val="24"/>
          <w:szCs w:val="24"/>
        </w:rPr>
        <w:t>Услуга по ведению отдельного учета имущества, предоставленного в качестве обе</w:t>
      </w:r>
      <w:r w:rsidRPr="00E302FE">
        <w:rPr>
          <w:sz w:val="24"/>
          <w:szCs w:val="24"/>
        </w:rPr>
        <w:t>с</w:t>
      </w:r>
      <w:r w:rsidRPr="00E302FE">
        <w:rPr>
          <w:sz w:val="24"/>
          <w:szCs w:val="24"/>
        </w:rPr>
        <w:t>печения, и обязательств Банка, возникших из договоров, заключенных за счет Клиента, т</w:t>
      </w:r>
      <w:r w:rsidRPr="00E302FE">
        <w:rPr>
          <w:sz w:val="24"/>
          <w:szCs w:val="24"/>
        </w:rPr>
        <w:t>а</w:t>
      </w:r>
      <w:r w:rsidRPr="00E302FE">
        <w:rPr>
          <w:sz w:val="24"/>
          <w:szCs w:val="24"/>
        </w:rPr>
        <w:t>рифицируется в соответствии с тарифами Банка.</w:t>
      </w:r>
    </w:p>
    <w:p w:rsidR="00E302FE" w:rsidRPr="00E302FE" w:rsidRDefault="00E302FE" w:rsidP="00E302FE">
      <w:pPr>
        <w:ind w:firstLine="709"/>
        <w:jc w:val="both"/>
        <w:rPr>
          <w:sz w:val="24"/>
          <w:szCs w:val="24"/>
        </w:rPr>
      </w:pPr>
      <w:r w:rsidRPr="00E302FE">
        <w:rPr>
          <w:sz w:val="24"/>
          <w:szCs w:val="24"/>
        </w:rPr>
        <w:t>В соответствии с частью 3.1 статьи 11 Федерального закона от 7 февраля 2011 г. № 7-ФЗ «О клиринге, клиринговой деятельности и центральном контрагенте» Банк уведомляет Клиента о рисках Клиента, связанных с отсутствием отдельного учета его имущества, пр</w:t>
      </w:r>
      <w:r w:rsidRPr="00E302FE">
        <w:rPr>
          <w:sz w:val="24"/>
          <w:szCs w:val="24"/>
        </w:rPr>
        <w:t>е</w:t>
      </w:r>
      <w:r w:rsidRPr="00E302FE">
        <w:rPr>
          <w:sz w:val="24"/>
          <w:szCs w:val="24"/>
        </w:rPr>
        <w:t>доставленного в качестве обеспечения, и обязательств Банка как участника клиринга, во</w:t>
      </w:r>
      <w:r w:rsidRPr="00E302FE">
        <w:rPr>
          <w:sz w:val="24"/>
          <w:szCs w:val="24"/>
        </w:rPr>
        <w:t>з</w:t>
      </w:r>
      <w:r w:rsidRPr="00E302FE">
        <w:rPr>
          <w:sz w:val="24"/>
          <w:szCs w:val="24"/>
        </w:rPr>
        <w:t>никших из договоров, заключенных за счет Клиента: в связи с тем, что имущество Клиента учитывается на торговом счете (счетах) вместе с денежными средствами других Клиентов, отсутствие раздельного учета имущества может повлечь риск недостатка ликвидности в д</w:t>
      </w:r>
      <w:r w:rsidRPr="00E302FE">
        <w:rPr>
          <w:sz w:val="24"/>
          <w:szCs w:val="24"/>
        </w:rPr>
        <w:t>о</w:t>
      </w:r>
      <w:r w:rsidRPr="00E302FE">
        <w:rPr>
          <w:sz w:val="24"/>
          <w:szCs w:val="24"/>
        </w:rPr>
        <w:t xml:space="preserve">полнение к прочим рискам, упомянутым в </w:t>
      </w:r>
      <w:r w:rsidR="000E7C0C">
        <w:rPr>
          <w:sz w:val="24"/>
          <w:szCs w:val="24"/>
        </w:rPr>
        <w:t>д</w:t>
      </w:r>
      <w:r w:rsidRPr="00E302FE">
        <w:rPr>
          <w:sz w:val="24"/>
          <w:szCs w:val="24"/>
        </w:rPr>
        <w:t>екларациях о рисках. Данный риск заключается в том, что Банк не в состоянии исполнить поручение на сделку в случае, когда сумма средств или количество имущества, необходимых для совершения такой сделки, превышают досту</w:t>
      </w:r>
      <w:r w:rsidRPr="00E302FE">
        <w:rPr>
          <w:sz w:val="24"/>
          <w:szCs w:val="24"/>
        </w:rPr>
        <w:t>п</w:t>
      </w:r>
      <w:r w:rsidRPr="00E302FE">
        <w:rPr>
          <w:sz w:val="24"/>
          <w:szCs w:val="24"/>
        </w:rPr>
        <w:t>ные свободные остатки, учитываемые на торговых счетах. Данный риск возникает в случае массовой подачи поручений на совершение необеспеченных сделок Клиентами Банка.</w:t>
      </w:r>
    </w:p>
    <w:p w:rsidR="00E302FE" w:rsidRPr="00E302FE" w:rsidRDefault="00E302FE" w:rsidP="00E302FE">
      <w:pPr>
        <w:ind w:firstLine="709"/>
        <w:jc w:val="both"/>
        <w:rPr>
          <w:sz w:val="24"/>
          <w:szCs w:val="24"/>
        </w:rPr>
      </w:pPr>
    </w:p>
    <w:p w:rsidR="00E302FE" w:rsidRDefault="000E7C0C" w:rsidP="00E302FE">
      <w:pPr>
        <w:ind w:firstLine="709"/>
        <w:jc w:val="both"/>
        <w:rPr>
          <w:sz w:val="24"/>
          <w:szCs w:val="24"/>
        </w:rPr>
      </w:pPr>
      <w:r>
        <w:rPr>
          <w:sz w:val="24"/>
          <w:szCs w:val="24"/>
        </w:rPr>
        <w:t>2</w:t>
      </w:r>
      <w:r w:rsidR="00E302FE" w:rsidRPr="00E302FE">
        <w:rPr>
          <w:sz w:val="24"/>
          <w:szCs w:val="24"/>
        </w:rPr>
        <w:t>.</w:t>
      </w:r>
      <w:r w:rsidR="00D93B9A">
        <w:rPr>
          <w:sz w:val="24"/>
          <w:szCs w:val="24"/>
        </w:rPr>
        <w:t>5</w:t>
      </w:r>
      <w:r w:rsidR="00E302FE" w:rsidRPr="00E302FE">
        <w:rPr>
          <w:sz w:val="24"/>
          <w:szCs w:val="24"/>
        </w:rPr>
        <w:t>. Клиент (получатель финансовых услуг)</w:t>
      </w:r>
      <w:r>
        <w:rPr>
          <w:sz w:val="24"/>
          <w:szCs w:val="24"/>
        </w:rPr>
        <w:t xml:space="preserve"> - физическое лицо</w:t>
      </w:r>
      <w:r w:rsidR="00E302FE" w:rsidRPr="00E302FE">
        <w:rPr>
          <w:sz w:val="24"/>
          <w:szCs w:val="24"/>
        </w:rPr>
        <w:t xml:space="preserve"> имеет право на пол</w:t>
      </w:r>
      <w:r w:rsidR="00E302FE" w:rsidRPr="00E302FE">
        <w:rPr>
          <w:sz w:val="24"/>
          <w:szCs w:val="24"/>
        </w:rPr>
        <w:t>у</w:t>
      </w:r>
      <w:r w:rsidR="00E302FE" w:rsidRPr="00E302FE">
        <w:rPr>
          <w:sz w:val="24"/>
          <w:szCs w:val="24"/>
        </w:rPr>
        <w:t>чение по его запросу информации о видах и суммах платежей (порядке определения сумм платежей), котор</w:t>
      </w:r>
      <w:r w:rsidR="0050345A">
        <w:rPr>
          <w:sz w:val="24"/>
          <w:szCs w:val="24"/>
        </w:rPr>
        <w:t>ые Клиент (получатель финансовой</w:t>
      </w:r>
      <w:r w:rsidR="00E302FE" w:rsidRPr="00E302FE">
        <w:rPr>
          <w:sz w:val="24"/>
          <w:szCs w:val="24"/>
        </w:rPr>
        <w:t xml:space="preserve"> услуг</w:t>
      </w:r>
      <w:r w:rsidR="0050345A">
        <w:rPr>
          <w:sz w:val="24"/>
          <w:szCs w:val="24"/>
        </w:rPr>
        <w:t>и</w:t>
      </w:r>
      <w:r w:rsidR="00E302FE" w:rsidRPr="00E302FE">
        <w:rPr>
          <w:sz w:val="24"/>
          <w:szCs w:val="24"/>
        </w:rPr>
        <w:t>)</w:t>
      </w:r>
      <w:r w:rsidR="0050345A">
        <w:rPr>
          <w:sz w:val="24"/>
          <w:szCs w:val="24"/>
        </w:rPr>
        <w:t xml:space="preserve"> - физическое лицо</w:t>
      </w:r>
      <w:r w:rsidR="00E302FE" w:rsidRPr="00E302FE">
        <w:rPr>
          <w:sz w:val="24"/>
          <w:szCs w:val="24"/>
        </w:rPr>
        <w:t xml:space="preserve"> должен б</w:t>
      </w:r>
      <w:r w:rsidR="00E302FE" w:rsidRPr="00E302FE">
        <w:rPr>
          <w:sz w:val="24"/>
          <w:szCs w:val="24"/>
        </w:rPr>
        <w:t>у</w:t>
      </w:r>
      <w:r w:rsidR="00E302FE" w:rsidRPr="00E302FE">
        <w:rPr>
          <w:sz w:val="24"/>
          <w:szCs w:val="24"/>
        </w:rPr>
        <w:t xml:space="preserve">дет уплатить за предоставление ему финансовой услуги, включая информацию о размере вознаграждения (порядке определения размера вознаграждения) </w:t>
      </w:r>
      <w:r w:rsidR="0050345A">
        <w:rPr>
          <w:sz w:val="24"/>
          <w:szCs w:val="24"/>
        </w:rPr>
        <w:t>брокера (</w:t>
      </w:r>
      <w:r w:rsidR="00E302FE" w:rsidRPr="00E302FE">
        <w:rPr>
          <w:sz w:val="24"/>
          <w:szCs w:val="24"/>
        </w:rPr>
        <w:t>Банка</w:t>
      </w:r>
      <w:r w:rsidR="0050345A">
        <w:rPr>
          <w:sz w:val="24"/>
          <w:szCs w:val="24"/>
        </w:rPr>
        <w:t>)</w:t>
      </w:r>
      <w:r w:rsidR="00E302FE" w:rsidRPr="00E302FE">
        <w:rPr>
          <w:sz w:val="24"/>
          <w:szCs w:val="24"/>
        </w:rPr>
        <w:t xml:space="preserve"> и порядке его уплаты.</w:t>
      </w:r>
    </w:p>
    <w:p w:rsidR="00D93B9A" w:rsidRDefault="00D93B9A" w:rsidP="00E302FE">
      <w:pPr>
        <w:ind w:firstLine="709"/>
        <w:jc w:val="both"/>
        <w:rPr>
          <w:sz w:val="24"/>
          <w:szCs w:val="24"/>
        </w:rPr>
      </w:pPr>
    </w:p>
    <w:p w:rsidR="00E302FE" w:rsidRDefault="00D93B9A" w:rsidP="00E302FE">
      <w:pPr>
        <w:ind w:firstLine="709"/>
        <w:jc w:val="both"/>
        <w:rPr>
          <w:sz w:val="24"/>
          <w:szCs w:val="24"/>
        </w:rPr>
      </w:pPr>
      <w:r w:rsidRPr="007E66B9">
        <w:rPr>
          <w:sz w:val="24"/>
          <w:szCs w:val="24"/>
        </w:rPr>
        <w:t>2.6</w:t>
      </w:r>
      <w:r w:rsidR="00E302FE" w:rsidRPr="007E66B9">
        <w:rPr>
          <w:sz w:val="24"/>
          <w:szCs w:val="24"/>
        </w:rPr>
        <w:t xml:space="preserve">. Клиент (получатель финансовых услуг) </w:t>
      </w:r>
      <w:r w:rsidRPr="007E66B9">
        <w:rPr>
          <w:sz w:val="24"/>
          <w:szCs w:val="24"/>
        </w:rPr>
        <w:t xml:space="preserve">- физическое лицо </w:t>
      </w:r>
      <w:r w:rsidR="00E302FE" w:rsidRPr="007E66B9">
        <w:rPr>
          <w:sz w:val="24"/>
          <w:szCs w:val="24"/>
        </w:rPr>
        <w:t>имеет право на пол</w:t>
      </w:r>
      <w:r w:rsidR="00E302FE" w:rsidRPr="007E66B9">
        <w:rPr>
          <w:sz w:val="24"/>
          <w:szCs w:val="24"/>
        </w:rPr>
        <w:t>у</w:t>
      </w:r>
      <w:r w:rsidR="00E302FE" w:rsidRPr="007E66B9">
        <w:rPr>
          <w:sz w:val="24"/>
          <w:szCs w:val="24"/>
        </w:rPr>
        <w:t xml:space="preserve">чение по его запросу информации, </w:t>
      </w:r>
      <w:r w:rsidRPr="007E66B9">
        <w:rPr>
          <w:sz w:val="24"/>
          <w:szCs w:val="24"/>
        </w:rPr>
        <w:t xml:space="preserve">указанной в пунктах 2.8.3 и 2.8.4 </w:t>
      </w:r>
      <w:r w:rsidR="00E302FE" w:rsidRPr="007E66B9">
        <w:rPr>
          <w:sz w:val="24"/>
          <w:szCs w:val="24"/>
        </w:rPr>
        <w:t>Базового стандарта з</w:t>
      </w:r>
      <w:r w:rsidR="00E302FE" w:rsidRPr="007E66B9">
        <w:rPr>
          <w:sz w:val="24"/>
          <w:szCs w:val="24"/>
        </w:rPr>
        <w:t>а</w:t>
      </w:r>
      <w:r w:rsidR="00E302FE" w:rsidRPr="007E66B9">
        <w:rPr>
          <w:sz w:val="24"/>
          <w:szCs w:val="24"/>
        </w:rPr>
        <w:t>щиты прав и интересов фи</w:t>
      </w:r>
      <w:r w:rsidRPr="007E66B9">
        <w:rPr>
          <w:sz w:val="24"/>
          <w:szCs w:val="24"/>
        </w:rPr>
        <w:t>зических и юридических лиц -</w:t>
      </w:r>
      <w:r w:rsidR="00E302FE" w:rsidRPr="007E66B9">
        <w:rPr>
          <w:sz w:val="24"/>
          <w:szCs w:val="24"/>
        </w:rPr>
        <w:t xml:space="preserve"> получателей финансовых услуг, оказываемых членами саморегулируемых организаций в сфере финансового рынка, объед</w:t>
      </w:r>
      <w:r w:rsidR="00E302FE" w:rsidRPr="007E66B9">
        <w:rPr>
          <w:sz w:val="24"/>
          <w:szCs w:val="24"/>
        </w:rPr>
        <w:t>и</w:t>
      </w:r>
      <w:r w:rsidR="00E302FE" w:rsidRPr="007E66B9">
        <w:rPr>
          <w:sz w:val="24"/>
          <w:szCs w:val="24"/>
        </w:rPr>
        <w:t xml:space="preserve">няющих брокеров </w:t>
      </w:r>
      <w:r w:rsidR="00B312D0">
        <w:rPr>
          <w:sz w:val="24"/>
          <w:szCs w:val="24"/>
        </w:rPr>
        <w:t>(</w:t>
      </w:r>
      <w:r w:rsidR="00A20113">
        <w:rPr>
          <w:sz w:val="24"/>
          <w:szCs w:val="24"/>
        </w:rPr>
        <w:t>утвержден</w:t>
      </w:r>
      <w:r w:rsidR="00E302FE" w:rsidRPr="007E66B9">
        <w:rPr>
          <w:sz w:val="24"/>
          <w:szCs w:val="24"/>
        </w:rPr>
        <w:t xml:space="preserve"> Банком России </w:t>
      </w:r>
      <w:r w:rsidR="00B312D0">
        <w:rPr>
          <w:sz w:val="24"/>
          <w:szCs w:val="24"/>
        </w:rPr>
        <w:t>30</w:t>
      </w:r>
      <w:r w:rsidR="00E302FE" w:rsidRPr="007E66B9">
        <w:rPr>
          <w:sz w:val="24"/>
          <w:szCs w:val="24"/>
        </w:rPr>
        <w:t xml:space="preserve"> </w:t>
      </w:r>
      <w:r w:rsidR="00B312D0">
        <w:rPr>
          <w:sz w:val="24"/>
          <w:szCs w:val="24"/>
        </w:rPr>
        <w:t>апреля</w:t>
      </w:r>
      <w:r w:rsidR="00E302FE" w:rsidRPr="007E66B9">
        <w:rPr>
          <w:sz w:val="24"/>
          <w:szCs w:val="24"/>
        </w:rPr>
        <w:t xml:space="preserve"> 202</w:t>
      </w:r>
      <w:r w:rsidR="00B312D0">
        <w:rPr>
          <w:sz w:val="24"/>
          <w:szCs w:val="24"/>
        </w:rPr>
        <w:t>5</w:t>
      </w:r>
      <w:r w:rsidR="00E302FE" w:rsidRPr="007E66B9">
        <w:rPr>
          <w:sz w:val="24"/>
          <w:szCs w:val="24"/>
        </w:rPr>
        <w:t xml:space="preserve"> г. № КФНП-</w:t>
      </w:r>
      <w:r w:rsidR="00B312D0">
        <w:rPr>
          <w:sz w:val="24"/>
          <w:szCs w:val="24"/>
        </w:rPr>
        <w:t>14</w:t>
      </w:r>
      <w:r w:rsidR="00E302FE" w:rsidRPr="007E66B9">
        <w:rPr>
          <w:sz w:val="24"/>
          <w:szCs w:val="24"/>
        </w:rPr>
        <w:t>) (далее - Ста</w:t>
      </w:r>
      <w:r w:rsidR="00E302FE" w:rsidRPr="007E66B9">
        <w:rPr>
          <w:sz w:val="24"/>
          <w:szCs w:val="24"/>
        </w:rPr>
        <w:t>н</w:t>
      </w:r>
      <w:r w:rsidR="00E302FE" w:rsidRPr="007E66B9">
        <w:rPr>
          <w:sz w:val="24"/>
          <w:szCs w:val="24"/>
        </w:rPr>
        <w:t>дарт):</w:t>
      </w:r>
    </w:p>
    <w:p w:rsidR="00E302FE" w:rsidRPr="00072483" w:rsidRDefault="00D93B9A" w:rsidP="00E302FE">
      <w:pPr>
        <w:ind w:firstLine="709"/>
        <w:jc w:val="both"/>
        <w:rPr>
          <w:sz w:val="24"/>
          <w:szCs w:val="24"/>
        </w:rPr>
      </w:pPr>
      <w:r w:rsidRPr="00072483">
        <w:rPr>
          <w:sz w:val="24"/>
          <w:szCs w:val="24"/>
        </w:rPr>
        <w:t>2</w:t>
      </w:r>
      <w:r w:rsidR="00E302FE" w:rsidRPr="00072483">
        <w:rPr>
          <w:sz w:val="24"/>
          <w:szCs w:val="24"/>
        </w:rPr>
        <w:t>.</w:t>
      </w:r>
      <w:r w:rsidR="00A9651E" w:rsidRPr="00072483">
        <w:rPr>
          <w:sz w:val="24"/>
          <w:szCs w:val="24"/>
        </w:rPr>
        <w:t>6</w:t>
      </w:r>
      <w:r w:rsidR="00E302FE" w:rsidRPr="00072483">
        <w:rPr>
          <w:sz w:val="24"/>
          <w:szCs w:val="24"/>
        </w:rPr>
        <w:t>.1. Согласно пункту 2.</w:t>
      </w:r>
      <w:r w:rsidR="00831B81" w:rsidRPr="00072483">
        <w:rPr>
          <w:sz w:val="24"/>
          <w:szCs w:val="24"/>
        </w:rPr>
        <w:t>8.3</w:t>
      </w:r>
      <w:r w:rsidR="00E302FE" w:rsidRPr="00072483">
        <w:rPr>
          <w:sz w:val="24"/>
          <w:szCs w:val="24"/>
        </w:rPr>
        <w:t xml:space="preserve"> Стандарта: </w:t>
      </w:r>
      <w:r w:rsidR="00072483">
        <w:rPr>
          <w:sz w:val="24"/>
          <w:szCs w:val="24"/>
        </w:rPr>
        <w:t>в отношении предлагаемых к приобретению п</w:t>
      </w:r>
      <w:r w:rsidR="00E302FE" w:rsidRPr="00072483">
        <w:rPr>
          <w:sz w:val="24"/>
          <w:szCs w:val="24"/>
        </w:rPr>
        <w:t>аев паевых инвестиционных фондов</w:t>
      </w:r>
      <w:r w:rsidR="00072483">
        <w:rPr>
          <w:sz w:val="24"/>
          <w:szCs w:val="24"/>
        </w:rPr>
        <w:t xml:space="preserve"> Банк п</w:t>
      </w:r>
      <w:r w:rsidR="00E302FE" w:rsidRPr="00072483">
        <w:rPr>
          <w:sz w:val="24"/>
          <w:szCs w:val="24"/>
        </w:rPr>
        <w:t>редоставляет получателю финансовых услуг по его запросу следующую информацию (документы):</w:t>
      </w:r>
    </w:p>
    <w:tbl>
      <w:tblPr>
        <w:tblW w:w="9747" w:type="dxa"/>
        <w:tblLook w:val="04A0"/>
      </w:tblPr>
      <w:tblGrid>
        <w:gridCol w:w="817"/>
        <w:gridCol w:w="296"/>
        <w:gridCol w:w="8634"/>
      </w:tblGrid>
      <w:tr w:rsidR="00831B81" w:rsidRPr="00072483" w:rsidTr="00AE48FC">
        <w:tc>
          <w:tcPr>
            <w:tcW w:w="817" w:type="dxa"/>
          </w:tcPr>
          <w:p w:rsidR="00831B81" w:rsidRPr="00072483" w:rsidRDefault="00831B81" w:rsidP="00AE48FC">
            <w:pPr>
              <w:pStyle w:val="Default"/>
              <w:rPr>
                <w:rFonts w:ascii="Times New Roman" w:hAnsi="Times New Roman" w:cs="Times New Roman"/>
                <w:bCs/>
              </w:rPr>
            </w:pPr>
          </w:p>
        </w:tc>
        <w:tc>
          <w:tcPr>
            <w:tcW w:w="296" w:type="dxa"/>
          </w:tcPr>
          <w:p w:rsidR="00831B81" w:rsidRPr="00072483" w:rsidRDefault="00831B81"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831B81" w:rsidRPr="00072483" w:rsidRDefault="00831B81" w:rsidP="00AE48FC">
            <w:pPr>
              <w:jc w:val="both"/>
              <w:rPr>
                <w:sz w:val="24"/>
                <w:szCs w:val="24"/>
              </w:rPr>
            </w:pPr>
            <w:r w:rsidRPr="00072483">
              <w:rPr>
                <w:sz w:val="24"/>
                <w:szCs w:val="24"/>
              </w:rPr>
              <w:t>инвестиционную декларацию паевого инвестиционного фонда;</w:t>
            </w:r>
          </w:p>
        </w:tc>
      </w:tr>
      <w:tr w:rsidR="00831B81" w:rsidRPr="00072483" w:rsidTr="00AE48FC">
        <w:tc>
          <w:tcPr>
            <w:tcW w:w="817" w:type="dxa"/>
          </w:tcPr>
          <w:p w:rsidR="00831B81" w:rsidRPr="00072483" w:rsidRDefault="00831B81" w:rsidP="00AE48FC">
            <w:pPr>
              <w:pStyle w:val="Default"/>
              <w:rPr>
                <w:rFonts w:ascii="Times New Roman" w:hAnsi="Times New Roman" w:cs="Times New Roman"/>
                <w:bCs/>
              </w:rPr>
            </w:pPr>
          </w:p>
        </w:tc>
        <w:tc>
          <w:tcPr>
            <w:tcW w:w="296" w:type="dxa"/>
          </w:tcPr>
          <w:p w:rsidR="00831B81" w:rsidRPr="00072483" w:rsidRDefault="00831B81"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831B81" w:rsidRPr="00072483" w:rsidRDefault="00831B81" w:rsidP="00AE48FC">
            <w:pPr>
              <w:jc w:val="both"/>
              <w:rPr>
                <w:bCs/>
                <w:sz w:val="24"/>
                <w:szCs w:val="24"/>
              </w:rPr>
            </w:pPr>
            <w:r w:rsidRPr="00072483">
              <w:rPr>
                <w:sz w:val="24"/>
                <w:szCs w:val="24"/>
              </w:rPr>
              <w:t>источник получения сведений об изменении расчетной стоимости инвестицио</w:t>
            </w:r>
            <w:r w:rsidRPr="00072483">
              <w:rPr>
                <w:sz w:val="24"/>
                <w:szCs w:val="24"/>
              </w:rPr>
              <w:t>н</w:t>
            </w:r>
            <w:r w:rsidRPr="00072483">
              <w:rPr>
                <w:sz w:val="24"/>
                <w:szCs w:val="24"/>
              </w:rPr>
              <w:t>ного пая за последние шесть месяцев (в случае предоставления такой информ</w:t>
            </w:r>
            <w:r w:rsidRPr="00072483">
              <w:rPr>
                <w:sz w:val="24"/>
                <w:szCs w:val="24"/>
              </w:rPr>
              <w:t>а</w:t>
            </w:r>
            <w:r w:rsidRPr="00072483">
              <w:rPr>
                <w:sz w:val="24"/>
                <w:szCs w:val="24"/>
              </w:rPr>
              <w:t>ции управляющей компанией паевого инвестиционного фонда и (или) нахожд</w:t>
            </w:r>
            <w:r w:rsidRPr="00072483">
              <w:rPr>
                <w:sz w:val="24"/>
                <w:szCs w:val="24"/>
              </w:rPr>
              <w:t>е</w:t>
            </w:r>
            <w:r w:rsidRPr="00072483">
              <w:rPr>
                <w:sz w:val="24"/>
                <w:szCs w:val="24"/>
              </w:rPr>
              <w:t>ния такой информации в свободном доступе);</w:t>
            </w:r>
          </w:p>
        </w:tc>
      </w:tr>
      <w:tr w:rsidR="00831B81" w:rsidRPr="00072483" w:rsidTr="00AE48FC">
        <w:tc>
          <w:tcPr>
            <w:tcW w:w="817" w:type="dxa"/>
          </w:tcPr>
          <w:p w:rsidR="00831B81" w:rsidRPr="00072483" w:rsidRDefault="00831B81" w:rsidP="00AE48FC">
            <w:pPr>
              <w:pStyle w:val="Default"/>
              <w:rPr>
                <w:rFonts w:ascii="Times New Roman" w:hAnsi="Times New Roman" w:cs="Times New Roman"/>
                <w:bCs/>
              </w:rPr>
            </w:pPr>
          </w:p>
        </w:tc>
        <w:tc>
          <w:tcPr>
            <w:tcW w:w="296" w:type="dxa"/>
          </w:tcPr>
          <w:p w:rsidR="00831B81" w:rsidRPr="00072483" w:rsidRDefault="00831B81"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831B81" w:rsidRPr="00072483" w:rsidRDefault="00831B81" w:rsidP="00AE48FC">
            <w:pPr>
              <w:jc w:val="both"/>
              <w:rPr>
                <w:bCs/>
                <w:sz w:val="24"/>
                <w:szCs w:val="24"/>
              </w:rPr>
            </w:pPr>
            <w:r w:rsidRPr="00072483">
              <w:rPr>
                <w:sz w:val="24"/>
                <w:szCs w:val="24"/>
              </w:rPr>
              <w:t>размер вознаграждения управляющей компании и общий размер вознаграждения специализированного депозитария, лица, осуществляющего ведение реестра вл</w:t>
            </w:r>
            <w:r w:rsidRPr="00072483">
              <w:rPr>
                <w:sz w:val="24"/>
                <w:szCs w:val="24"/>
              </w:rPr>
              <w:t>а</w:t>
            </w:r>
            <w:r w:rsidRPr="00072483">
              <w:rPr>
                <w:sz w:val="24"/>
                <w:szCs w:val="24"/>
              </w:rPr>
              <w:t>дельцев инвестиционных паев, аудиторской организации, а также оценщика, е</w:t>
            </w:r>
            <w:r w:rsidRPr="00072483">
              <w:rPr>
                <w:sz w:val="24"/>
                <w:szCs w:val="24"/>
              </w:rPr>
              <w:t>с</w:t>
            </w:r>
            <w:r w:rsidRPr="00072483">
              <w:rPr>
                <w:sz w:val="24"/>
                <w:szCs w:val="24"/>
              </w:rPr>
              <w:lastRenderedPageBreak/>
              <w:t>ли инвестиционная декларация паевого инвестиционного фонда предусматривает возможность инвестирования в имущество, оценка которого осуществляется оценщиком;</w:t>
            </w:r>
          </w:p>
        </w:tc>
      </w:tr>
      <w:tr w:rsidR="00831B81" w:rsidRPr="00292985" w:rsidTr="00AE48FC">
        <w:tc>
          <w:tcPr>
            <w:tcW w:w="817" w:type="dxa"/>
          </w:tcPr>
          <w:p w:rsidR="00831B81" w:rsidRPr="00072483" w:rsidRDefault="00831B81" w:rsidP="00AE48FC">
            <w:pPr>
              <w:pStyle w:val="Default"/>
              <w:rPr>
                <w:rFonts w:ascii="Times New Roman" w:hAnsi="Times New Roman" w:cs="Times New Roman"/>
                <w:bCs/>
              </w:rPr>
            </w:pPr>
          </w:p>
        </w:tc>
        <w:tc>
          <w:tcPr>
            <w:tcW w:w="296" w:type="dxa"/>
          </w:tcPr>
          <w:p w:rsidR="00831B81" w:rsidRPr="00072483" w:rsidRDefault="00831B81"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831B81" w:rsidRPr="00292985" w:rsidRDefault="00831B81" w:rsidP="00AE48FC">
            <w:pPr>
              <w:jc w:val="both"/>
              <w:rPr>
                <w:bCs/>
                <w:sz w:val="24"/>
                <w:szCs w:val="24"/>
              </w:rPr>
            </w:pPr>
            <w:r w:rsidRPr="00072483">
              <w:rPr>
                <w:sz w:val="24"/>
                <w:szCs w:val="24"/>
              </w:rPr>
              <w:t>порядок и сроки выплаты денежной компенсации в связи с погашением инвест</w:t>
            </w:r>
            <w:r w:rsidRPr="00072483">
              <w:rPr>
                <w:sz w:val="24"/>
                <w:szCs w:val="24"/>
              </w:rPr>
              <w:t>и</w:t>
            </w:r>
            <w:r w:rsidRPr="00072483">
              <w:rPr>
                <w:sz w:val="24"/>
                <w:szCs w:val="24"/>
              </w:rPr>
              <w:t>ционных паев.</w:t>
            </w:r>
          </w:p>
        </w:tc>
      </w:tr>
    </w:tbl>
    <w:p w:rsidR="00E302FE" w:rsidRPr="00072483" w:rsidRDefault="00072483" w:rsidP="00E302FE">
      <w:pPr>
        <w:ind w:firstLine="709"/>
        <w:jc w:val="both"/>
        <w:rPr>
          <w:sz w:val="24"/>
          <w:szCs w:val="24"/>
        </w:rPr>
      </w:pPr>
      <w:r w:rsidRPr="00072483">
        <w:rPr>
          <w:sz w:val="24"/>
          <w:szCs w:val="24"/>
        </w:rPr>
        <w:t>2</w:t>
      </w:r>
      <w:r w:rsidR="00E302FE" w:rsidRPr="00072483">
        <w:rPr>
          <w:sz w:val="24"/>
          <w:szCs w:val="24"/>
        </w:rPr>
        <w:t>.</w:t>
      </w:r>
      <w:r w:rsidRPr="00072483">
        <w:rPr>
          <w:sz w:val="24"/>
          <w:szCs w:val="24"/>
        </w:rPr>
        <w:t>6</w:t>
      </w:r>
      <w:r w:rsidR="00E302FE" w:rsidRPr="00072483">
        <w:rPr>
          <w:sz w:val="24"/>
          <w:szCs w:val="24"/>
        </w:rPr>
        <w:t>.2. Согласно пункту 2.</w:t>
      </w:r>
      <w:r w:rsidR="00510F6D">
        <w:rPr>
          <w:sz w:val="24"/>
          <w:szCs w:val="24"/>
        </w:rPr>
        <w:t>8.4</w:t>
      </w:r>
      <w:r w:rsidR="00E302FE" w:rsidRPr="00072483">
        <w:rPr>
          <w:sz w:val="24"/>
          <w:szCs w:val="24"/>
        </w:rPr>
        <w:t xml:space="preserve"> Стандарта: в случае</w:t>
      </w:r>
      <w:r w:rsidR="00510F6D">
        <w:rPr>
          <w:sz w:val="24"/>
          <w:szCs w:val="24"/>
        </w:rPr>
        <w:t>,</w:t>
      </w:r>
      <w:r w:rsidR="00E302FE" w:rsidRPr="00072483">
        <w:rPr>
          <w:sz w:val="24"/>
          <w:szCs w:val="24"/>
        </w:rPr>
        <w:t xml:space="preserve"> если Банк оказывает услуги по з</w:t>
      </w:r>
      <w:r w:rsidR="00E302FE" w:rsidRPr="00072483">
        <w:rPr>
          <w:sz w:val="24"/>
          <w:szCs w:val="24"/>
        </w:rPr>
        <w:t>а</w:t>
      </w:r>
      <w:r w:rsidR="00E302FE" w:rsidRPr="00072483">
        <w:rPr>
          <w:sz w:val="24"/>
          <w:szCs w:val="24"/>
        </w:rPr>
        <w:t>ключению договоров, являющихся производными финансовыми инструментами, Банк пр</w:t>
      </w:r>
      <w:r w:rsidR="00E302FE" w:rsidRPr="00072483">
        <w:rPr>
          <w:sz w:val="24"/>
          <w:szCs w:val="24"/>
        </w:rPr>
        <w:t>е</w:t>
      </w:r>
      <w:r w:rsidR="00E302FE" w:rsidRPr="00072483">
        <w:rPr>
          <w:sz w:val="24"/>
          <w:szCs w:val="24"/>
        </w:rPr>
        <w:t>доставляет получателю финансовых услуг по его запросу следующую информацию (док</w:t>
      </w:r>
      <w:r w:rsidR="00E302FE" w:rsidRPr="00072483">
        <w:rPr>
          <w:sz w:val="24"/>
          <w:szCs w:val="24"/>
        </w:rPr>
        <w:t>у</w:t>
      </w:r>
      <w:r w:rsidR="00E302FE" w:rsidRPr="00072483">
        <w:rPr>
          <w:sz w:val="24"/>
          <w:szCs w:val="24"/>
        </w:rPr>
        <w:t>менты) о таких договорах:</w:t>
      </w:r>
    </w:p>
    <w:tbl>
      <w:tblPr>
        <w:tblW w:w="9747" w:type="dxa"/>
        <w:tblLook w:val="04A0"/>
      </w:tblPr>
      <w:tblGrid>
        <w:gridCol w:w="817"/>
        <w:gridCol w:w="296"/>
        <w:gridCol w:w="8634"/>
      </w:tblGrid>
      <w:tr w:rsidR="00072483" w:rsidRPr="00072483" w:rsidTr="00AE48FC">
        <w:tc>
          <w:tcPr>
            <w:tcW w:w="817" w:type="dxa"/>
          </w:tcPr>
          <w:p w:rsidR="00072483" w:rsidRPr="00072483" w:rsidRDefault="00072483" w:rsidP="00AE48FC">
            <w:pPr>
              <w:pStyle w:val="Default"/>
              <w:rPr>
                <w:rFonts w:ascii="Times New Roman" w:hAnsi="Times New Roman" w:cs="Times New Roman"/>
                <w:bCs/>
              </w:rPr>
            </w:pPr>
          </w:p>
        </w:tc>
        <w:tc>
          <w:tcPr>
            <w:tcW w:w="296" w:type="dxa"/>
          </w:tcPr>
          <w:p w:rsidR="00072483" w:rsidRPr="00072483" w:rsidRDefault="00072483"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072483" w:rsidRPr="00072483" w:rsidRDefault="00072483" w:rsidP="00AE48FC">
            <w:pPr>
              <w:jc w:val="both"/>
              <w:rPr>
                <w:bCs/>
                <w:sz w:val="24"/>
                <w:szCs w:val="24"/>
              </w:rPr>
            </w:pPr>
            <w:r w:rsidRPr="00072483">
              <w:rPr>
                <w:sz w:val="24"/>
                <w:szCs w:val="24"/>
              </w:rPr>
              <w:t>спецификацию договора, являющегося производным финансовым инструментом (в случае если базисным активом производного финансового инструмента явл</w:t>
            </w:r>
            <w:r w:rsidRPr="00072483">
              <w:rPr>
                <w:sz w:val="24"/>
                <w:szCs w:val="24"/>
              </w:rPr>
              <w:t>я</w:t>
            </w:r>
            <w:r w:rsidRPr="00072483">
              <w:rPr>
                <w:sz w:val="24"/>
                <w:szCs w:val="24"/>
              </w:rPr>
              <w:t>ется другой производный финансовый инструмент, необходимо также предост</w:t>
            </w:r>
            <w:r w:rsidRPr="00072483">
              <w:rPr>
                <w:sz w:val="24"/>
                <w:szCs w:val="24"/>
              </w:rPr>
              <w:t>а</w:t>
            </w:r>
            <w:r w:rsidRPr="00072483">
              <w:rPr>
                <w:sz w:val="24"/>
                <w:szCs w:val="24"/>
              </w:rPr>
              <w:t>вить спецификацию такого договора, являющегося производным финансовым инструментом);</w:t>
            </w:r>
          </w:p>
        </w:tc>
      </w:tr>
      <w:tr w:rsidR="00072483" w:rsidRPr="00072483" w:rsidTr="00AE48FC">
        <w:tc>
          <w:tcPr>
            <w:tcW w:w="817" w:type="dxa"/>
          </w:tcPr>
          <w:p w:rsidR="00072483" w:rsidRPr="00072483" w:rsidRDefault="00072483" w:rsidP="00AE48FC">
            <w:pPr>
              <w:pStyle w:val="Default"/>
              <w:rPr>
                <w:rFonts w:ascii="Times New Roman" w:hAnsi="Times New Roman" w:cs="Times New Roman"/>
                <w:bCs/>
              </w:rPr>
            </w:pPr>
          </w:p>
        </w:tc>
        <w:tc>
          <w:tcPr>
            <w:tcW w:w="296" w:type="dxa"/>
          </w:tcPr>
          <w:p w:rsidR="00072483" w:rsidRPr="00072483" w:rsidRDefault="00072483"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072483" w:rsidRPr="00072483" w:rsidRDefault="00072483" w:rsidP="00AE48FC">
            <w:pPr>
              <w:jc w:val="both"/>
              <w:rPr>
                <w:bCs/>
                <w:sz w:val="24"/>
                <w:szCs w:val="24"/>
              </w:rPr>
            </w:pPr>
            <w:r w:rsidRPr="00072483">
              <w:rPr>
                <w:sz w:val="24"/>
                <w:szCs w:val="24"/>
              </w:rPr>
              <w:t>размер суммы денежных средств, которую необходимо уплатить на момент з</w:t>
            </w:r>
            <w:r w:rsidRPr="00072483">
              <w:rPr>
                <w:sz w:val="24"/>
                <w:szCs w:val="24"/>
              </w:rPr>
              <w:t>а</w:t>
            </w:r>
            <w:r w:rsidRPr="00072483">
              <w:rPr>
                <w:sz w:val="24"/>
                <w:szCs w:val="24"/>
              </w:rPr>
              <w:t>ключения договора, являющегося производным финансовым инструментом;</w:t>
            </w:r>
          </w:p>
        </w:tc>
      </w:tr>
      <w:tr w:rsidR="00072483" w:rsidRPr="00072483" w:rsidTr="00AE48FC">
        <w:tc>
          <w:tcPr>
            <w:tcW w:w="817" w:type="dxa"/>
          </w:tcPr>
          <w:p w:rsidR="00072483" w:rsidRPr="00072483" w:rsidRDefault="00072483" w:rsidP="00AE48FC">
            <w:pPr>
              <w:pStyle w:val="Default"/>
              <w:rPr>
                <w:rFonts w:ascii="Times New Roman" w:hAnsi="Times New Roman" w:cs="Times New Roman"/>
                <w:bCs/>
              </w:rPr>
            </w:pPr>
          </w:p>
        </w:tc>
        <w:tc>
          <w:tcPr>
            <w:tcW w:w="296" w:type="dxa"/>
          </w:tcPr>
          <w:p w:rsidR="00072483" w:rsidRPr="00072483" w:rsidRDefault="00072483" w:rsidP="00AE48FC">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072483" w:rsidRPr="00072483" w:rsidRDefault="00072483" w:rsidP="00AE48FC">
            <w:pPr>
              <w:jc w:val="both"/>
              <w:rPr>
                <w:bCs/>
                <w:sz w:val="24"/>
                <w:szCs w:val="24"/>
              </w:rPr>
            </w:pPr>
            <w:r w:rsidRPr="00072483">
              <w:rPr>
                <w:sz w:val="24"/>
                <w:szCs w:val="24"/>
              </w:rPr>
              <w:t>источник получения сведений о колебании цены (значения) базисного актива за последние шесть месяцев, предшествующих дате заключения договора, явля</w:t>
            </w:r>
            <w:r w:rsidRPr="00072483">
              <w:rPr>
                <w:sz w:val="24"/>
                <w:szCs w:val="24"/>
              </w:rPr>
              <w:t>ю</w:t>
            </w:r>
            <w:r w:rsidRPr="00072483">
              <w:rPr>
                <w:sz w:val="24"/>
                <w:szCs w:val="24"/>
              </w:rPr>
              <w:t>щегося производным финансовым инструментом (в случае наличия у Банка и</w:t>
            </w:r>
            <w:r w:rsidRPr="00072483">
              <w:rPr>
                <w:sz w:val="24"/>
                <w:szCs w:val="24"/>
              </w:rPr>
              <w:t>н</w:t>
            </w:r>
            <w:r w:rsidRPr="00072483">
              <w:rPr>
                <w:sz w:val="24"/>
                <w:szCs w:val="24"/>
              </w:rPr>
              <w:t>формации о таком источнике).</w:t>
            </w:r>
          </w:p>
        </w:tc>
      </w:tr>
    </w:tbl>
    <w:p w:rsidR="00E302FE" w:rsidRDefault="00E302FE" w:rsidP="00E302FE">
      <w:pPr>
        <w:ind w:firstLine="709"/>
        <w:jc w:val="both"/>
        <w:rPr>
          <w:sz w:val="24"/>
          <w:szCs w:val="24"/>
        </w:rPr>
      </w:pPr>
    </w:p>
    <w:p w:rsidR="00EE372F" w:rsidRPr="00E302FE" w:rsidRDefault="00A74718" w:rsidP="00A74718">
      <w:pPr>
        <w:ind w:firstLine="709"/>
        <w:jc w:val="center"/>
        <w:rPr>
          <w:b/>
          <w:sz w:val="24"/>
          <w:szCs w:val="24"/>
        </w:rPr>
      </w:pPr>
      <w:r>
        <w:rPr>
          <w:b/>
          <w:sz w:val="24"/>
          <w:szCs w:val="24"/>
        </w:rPr>
        <w:t>3</w:t>
      </w:r>
      <w:r w:rsidR="00EE372F" w:rsidRPr="00E302FE">
        <w:rPr>
          <w:b/>
          <w:sz w:val="24"/>
          <w:szCs w:val="24"/>
        </w:rPr>
        <w:t>. ДЕКЛАРАЦИЯ О РИСКАХ,</w:t>
      </w:r>
    </w:p>
    <w:p w:rsidR="00EE372F" w:rsidRPr="00E302FE" w:rsidRDefault="00EE372F" w:rsidP="00A74718">
      <w:pPr>
        <w:ind w:firstLine="709"/>
        <w:jc w:val="center"/>
        <w:rPr>
          <w:b/>
          <w:sz w:val="24"/>
          <w:szCs w:val="24"/>
        </w:rPr>
      </w:pPr>
      <w:r w:rsidRPr="00E302FE">
        <w:rPr>
          <w:b/>
          <w:sz w:val="24"/>
          <w:szCs w:val="24"/>
        </w:rPr>
        <w:t>СВЯЗАННЫХ С ИНДИВИДУАЛЬНЫМИ ИНВЕСТИЦИОННЫМИ СЧЕТАМИ</w:t>
      </w:r>
    </w:p>
    <w:p w:rsidR="00EE372F" w:rsidRPr="00E302FE" w:rsidRDefault="00EE372F" w:rsidP="00EE372F">
      <w:pPr>
        <w:ind w:firstLine="709"/>
        <w:jc w:val="both"/>
        <w:rPr>
          <w:b/>
          <w:sz w:val="24"/>
          <w:szCs w:val="24"/>
        </w:rPr>
      </w:pPr>
    </w:p>
    <w:p w:rsidR="00EE372F" w:rsidRPr="00E302FE" w:rsidRDefault="00EE372F" w:rsidP="00EE372F">
      <w:pPr>
        <w:ind w:firstLine="709"/>
        <w:jc w:val="both"/>
        <w:rPr>
          <w:b/>
          <w:i/>
          <w:sz w:val="24"/>
          <w:szCs w:val="24"/>
        </w:rPr>
      </w:pPr>
      <w:r w:rsidRPr="00E302FE">
        <w:rPr>
          <w:b/>
          <w:i/>
          <w:sz w:val="24"/>
          <w:szCs w:val="24"/>
        </w:rPr>
        <w:t>В отношении Договора на ведение индивидуального инвестиционного счета, по которому Клиент имеет право на получение инвестиционных налоговых вычетов:</w:t>
      </w:r>
    </w:p>
    <w:p w:rsidR="00EE372F" w:rsidRPr="00E302FE" w:rsidRDefault="00EE372F" w:rsidP="00EE372F">
      <w:pPr>
        <w:ind w:firstLine="709"/>
        <w:jc w:val="both"/>
        <w:rPr>
          <w:sz w:val="24"/>
          <w:szCs w:val="24"/>
        </w:rPr>
      </w:pPr>
      <w:r w:rsidRPr="00E302FE">
        <w:rPr>
          <w:sz w:val="24"/>
          <w:szCs w:val="24"/>
        </w:rPr>
        <w:t>Заключение Договора на ведение индивидуального инвестиционного счета позволяет Клиенту получить инвестиционный налоговый вычет.</w:t>
      </w:r>
    </w:p>
    <w:p w:rsidR="00EE372F" w:rsidRPr="00E302FE" w:rsidRDefault="00EE372F" w:rsidP="00EE372F">
      <w:pPr>
        <w:ind w:firstLine="709"/>
        <w:jc w:val="both"/>
        <w:rPr>
          <w:sz w:val="24"/>
          <w:szCs w:val="24"/>
        </w:rPr>
      </w:pPr>
      <w:r w:rsidRPr="00E302FE">
        <w:rPr>
          <w:sz w:val="24"/>
          <w:szCs w:val="24"/>
        </w:rPr>
        <w:t xml:space="preserve">Все риски, упомянутые в </w:t>
      </w:r>
      <w:r w:rsidR="003B14D7">
        <w:rPr>
          <w:sz w:val="24"/>
          <w:szCs w:val="24"/>
        </w:rPr>
        <w:t>д</w:t>
      </w:r>
      <w:r w:rsidRPr="00E302FE">
        <w:rPr>
          <w:sz w:val="24"/>
          <w:szCs w:val="24"/>
        </w:rPr>
        <w:t>екларациях о рисках, имеют отношение и к Индивидуал</w:t>
      </w:r>
      <w:r w:rsidRPr="00E302FE">
        <w:rPr>
          <w:sz w:val="24"/>
          <w:szCs w:val="24"/>
        </w:rPr>
        <w:t>ь</w:t>
      </w:r>
      <w:r w:rsidRPr="00E302FE">
        <w:rPr>
          <w:sz w:val="24"/>
          <w:szCs w:val="24"/>
        </w:rPr>
        <w:t>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w:t>
      </w:r>
      <w:r w:rsidRPr="00E302FE">
        <w:rPr>
          <w:sz w:val="24"/>
          <w:szCs w:val="24"/>
        </w:rPr>
        <w:t>а</w:t>
      </w:r>
      <w:r w:rsidRPr="00E302FE">
        <w:rPr>
          <w:sz w:val="24"/>
          <w:szCs w:val="24"/>
        </w:rPr>
        <w:t>кие счета, и исключить риск лишиться таких преимуществ.</w:t>
      </w:r>
    </w:p>
    <w:p w:rsidR="00EE372F" w:rsidRPr="00E302FE" w:rsidRDefault="00EE372F" w:rsidP="00EE372F">
      <w:pPr>
        <w:ind w:firstLine="709"/>
        <w:jc w:val="both"/>
        <w:rPr>
          <w:sz w:val="24"/>
          <w:szCs w:val="24"/>
        </w:rPr>
      </w:pPr>
      <w:r w:rsidRPr="00E302FE">
        <w:rPr>
          <w:sz w:val="24"/>
          <w:szCs w:val="24"/>
        </w:rPr>
        <w:t>Существует два варианта инвестиционных налоговых вычетов:</w:t>
      </w:r>
    </w:p>
    <w:p w:rsidR="00EE372F" w:rsidRPr="00E302FE" w:rsidRDefault="00EE372F" w:rsidP="00EE372F">
      <w:pPr>
        <w:ind w:firstLine="709"/>
        <w:jc w:val="both"/>
        <w:rPr>
          <w:sz w:val="24"/>
          <w:szCs w:val="24"/>
        </w:rPr>
      </w:pPr>
      <w:r w:rsidRPr="00E302FE">
        <w:rPr>
          <w:sz w:val="24"/>
          <w:szCs w:val="24"/>
        </w:rPr>
        <w:t>1) «на взнос», по которому Клиент может ежегодно обращаться за возвратом упл</w:t>
      </w:r>
      <w:r w:rsidRPr="00E302FE">
        <w:rPr>
          <w:sz w:val="24"/>
          <w:szCs w:val="24"/>
        </w:rPr>
        <w:t>а</w:t>
      </w:r>
      <w:r w:rsidRPr="00E302FE">
        <w:rPr>
          <w:sz w:val="24"/>
          <w:szCs w:val="24"/>
        </w:rPr>
        <w:t>ченного налога на доходы, получая вычет на сумму сделанного Клиентом в налоговом п</w:t>
      </w:r>
      <w:r w:rsidRPr="00E302FE">
        <w:rPr>
          <w:sz w:val="24"/>
          <w:szCs w:val="24"/>
        </w:rPr>
        <w:t>е</w:t>
      </w:r>
      <w:r w:rsidRPr="00E302FE">
        <w:rPr>
          <w:sz w:val="24"/>
          <w:szCs w:val="24"/>
        </w:rPr>
        <w:t>риоде взноса на Индивидуальный инвестиционный счет (с учетом особенностей, устано</w:t>
      </w:r>
      <w:r w:rsidRPr="00E302FE">
        <w:rPr>
          <w:sz w:val="24"/>
          <w:szCs w:val="24"/>
        </w:rPr>
        <w:t>в</w:t>
      </w:r>
      <w:r w:rsidRPr="00E302FE">
        <w:rPr>
          <w:sz w:val="24"/>
          <w:szCs w:val="24"/>
        </w:rPr>
        <w:t>ленных законодательством Российской Федерации о налогах и сборах), но должен будет у</w:t>
      </w:r>
      <w:r w:rsidRPr="00E302FE">
        <w:rPr>
          <w:sz w:val="24"/>
          <w:szCs w:val="24"/>
        </w:rPr>
        <w:t>п</w:t>
      </w:r>
      <w:r w:rsidRPr="00E302FE">
        <w:rPr>
          <w:sz w:val="24"/>
          <w:szCs w:val="24"/>
        </w:rPr>
        <w:t>латить налог на доход, исчисленный при закрытии Индивидуального инвестиционного счета;</w:t>
      </w:r>
    </w:p>
    <w:p w:rsidR="00EE372F" w:rsidRPr="00E302FE" w:rsidRDefault="00EE372F" w:rsidP="00EE372F">
      <w:pPr>
        <w:ind w:firstLine="709"/>
        <w:jc w:val="both"/>
        <w:rPr>
          <w:sz w:val="24"/>
          <w:szCs w:val="24"/>
        </w:rPr>
      </w:pPr>
      <w:r w:rsidRPr="00E302FE">
        <w:rPr>
          <w:sz w:val="24"/>
          <w:szCs w:val="24"/>
        </w:rPr>
        <w:t>2) «на изъятие средств со счета», по которому Клиент не сможет получать ежегодный возврат налога, но будет освобожден от уплаты налога при изъятии средств с Индивидуал</w:t>
      </w:r>
      <w:r w:rsidRPr="00E302FE">
        <w:rPr>
          <w:sz w:val="24"/>
          <w:szCs w:val="24"/>
        </w:rPr>
        <w:t>ь</w:t>
      </w:r>
      <w:r w:rsidRPr="00E302FE">
        <w:rPr>
          <w:sz w:val="24"/>
          <w:szCs w:val="24"/>
        </w:rPr>
        <w:t>ного инвестиционного счета.</w:t>
      </w:r>
    </w:p>
    <w:p w:rsidR="00EE372F" w:rsidRPr="00E302FE" w:rsidRDefault="00EE372F" w:rsidP="00EE372F">
      <w:pPr>
        <w:ind w:firstLine="709"/>
        <w:jc w:val="both"/>
        <w:rPr>
          <w:sz w:val="24"/>
          <w:szCs w:val="24"/>
        </w:rPr>
      </w:pPr>
      <w:r w:rsidRPr="00E302FE">
        <w:rPr>
          <w:sz w:val="24"/>
          <w:szCs w:val="24"/>
        </w:rPr>
        <w:t>Обратите внимание на то, что Клиент сможет воспользоваться только одним из вар</w:t>
      </w:r>
      <w:r w:rsidRPr="00E302FE">
        <w:rPr>
          <w:sz w:val="24"/>
          <w:szCs w:val="24"/>
        </w:rPr>
        <w:t>и</w:t>
      </w:r>
      <w:r w:rsidRPr="00E302FE">
        <w:rPr>
          <w:sz w:val="24"/>
          <w:szCs w:val="24"/>
        </w:rPr>
        <w:t>антов инвестиционного налогового вычета, это значит, что если Клиент хотя бы однажды воспользуется инвестиционным вычетом «на взнос», то не сможет воспользоваться инвест</w:t>
      </w:r>
      <w:r w:rsidRPr="00E302FE">
        <w:rPr>
          <w:sz w:val="24"/>
          <w:szCs w:val="24"/>
        </w:rPr>
        <w:t>и</w:t>
      </w:r>
      <w:r w:rsidRPr="00E302FE">
        <w:rPr>
          <w:sz w:val="24"/>
          <w:szCs w:val="24"/>
        </w:rPr>
        <w:t>ционным вычетом «на изъятие средств», что может лишить Клиента всех преимуществ этого варианта. Определите предпочтительный вариант, обсудите достоинства и недостатки ка</w:t>
      </w:r>
      <w:r w:rsidRPr="00E302FE">
        <w:rPr>
          <w:sz w:val="24"/>
          <w:szCs w:val="24"/>
        </w:rPr>
        <w:t>ж</w:t>
      </w:r>
      <w:r w:rsidRPr="00E302FE">
        <w:rPr>
          <w:sz w:val="24"/>
          <w:szCs w:val="24"/>
        </w:rPr>
        <w:t>дого варианта с Вашим брокером и (или) консультантом, специализирующимся на соотве</w:t>
      </w:r>
      <w:r w:rsidRPr="00E302FE">
        <w:rPr>
          <w:sz w:val="24"/>
          <w:szCs w:val="24"/>
        </w:rPr>
        <w:t>т</w:t>
      </w:r>
      <w:r w:rsidRPr="00E302FE">
        <w:rPr>
          <w:sz w:val="24"/>
          <w:szCs w:val="24"/>
        </w:rPr>
        <w:t>ствующих консультациях.</w:t>
      </w:r>
    </w:p>
    <w:p w:rsidR="00EE372F" w:rsidRPr="00E302FE" w:rsidRDefault="00EE372F" w:rsidP="00EE372F">
      <w:pPr>
        <w:ind w:firstLine="709"/>
        <w:jc w:val="both"/>
        <w:rPr>
          <w:sz w:val="24"/>
          <w:szCs w:val="24"/>
        </w:rPr>
      </w:pPr>
      <w:r w:rsidRPr="00E302FE">
        <w:rPr>
          <w:sz w:val="24"/>
          <w:szCs w:val="24"/>
        </w:rPr>
        <w:t>Следует иметь в виду также то, что если Клиент прекратит Договор на ведение инд</w:t>
      </w:r>
      <w:r w:rsidRPr="00E302FE">
        <w:rPr>
          <w:sz w:val="24"/>
          <w:szCs w:val="24"/>
        </w:rPr>
        <w:t>и</w:t>
      </w:r>
      <w:r w:rsidRPr="00E302FE">
        <w:rPr>
          <w:sz w:val="24"/>
          <w:szCs w:val="24"/>
        </w:rPr>
        <w:t>видуального инвестиционного счета ранее 3 (Трех) лет, то не сможет воспользоваться оп</w:t>
      </w:r>
      <w:r w:rsidRPr="00E302FE">
        <w:rPr>
          <w:sz w:val="24"/>
          <w:szCs w:val="24"/>
        </w:rPr>
        <w:t>и</w:t>
      </w:r>
      <w:r w:rsidRPr="00E302FE">
        <w:rPr>
          <w:sz w:val="24"/>
          <w:szCs w:val="24"/>
        </w:rPr>
        <w:t>санными инвестиционными налоговыми вычетами и, в случае если Клиент пользовался в</w:t>
      </w:r>
      <w:r w:rsidRPr="00E302FE">
        <w:rPr>
          <w:sz w:val="24"/>
          <w:szCs w:val="24"/>
        </w:rPr>
        <w:t>ы</w:t>
      </w:r>
      <w:r w:rsidRPr="00E302FE">
        <w:rPr>
          <w:sz w:val="24"/>
          <w:szCs w:val="24"/>
        </w:rPr>
        <w:t>четом «на взнос», возникнет обязанность вернуть государству (вернуть в бюджет) все суммы возвращенного Клиенту налога, а также выплатить соответствующие суммы пеней.</w:t>
      </w:r>
    </w:p>
    <w:p w:rsidR="00EE372F" w:rsidRPr="00E302FE" w:rsidRDefault="00EE372F" w:rsidP="00EE372F">
      <w:pPr>
        <w:ind w:firstLine="709"/>
        <w:jc w:val="both"/>
        <w:rPr>
          <w:sz w:val="24"/>
          <w:szCs w:val="24"/>
        </w:rPr>
      </w:pPr>
      <w:r w:rsidRPr="00E302FE">
        <w:rPr>
          <w:sz w:val="24"/>
          <w:szCs w:val="24"/>
        </w:rPr>
        <w:lastRenderedPageBreak/>
        <w:t>Банк не осведомлен о выборе Клиентом варианта инвестиционного налогового вычета и не участвует в отношениях Клиента с налоговым органом.</w:t>
      </w:r>
    </w:p>
    <w:p w:rsidR="00EE372F" w:rsidRPr="00E302FE" w:rsidRDefault="00EE372F" w:rsidP="00EE372F">
      <w:pPr>
        <w:ind w:firstLine="709"/>
        <w:jc w:val="both"/>
        <w:rPr>
          <w:sz w:val="24"/>
          <w:szCs w:val="24"/>
        </w:rPr>
      </w:pPr>
      <w:r w:rsidRPr="00E302FE">
        <w:rPr>
          <w:sz w:val="24"/>
          <w:szCs w:val="24"/>
        </w:rPr>
        <w:t>Обращаем внимание на то, что Клиент может иметь только один Индивидуальный инвестиционный счет. Открытие нескольких Индивидуальных инвестиционных счетов у о</w:t>
      </w:r>
      <w:r w:rsidRPr="00E302FE">
        <w:rPr>
          <w:sz w:val="24"/>
          <w:szCs w:val="24"/>
        </w:rPr>
        <w:t>д</w:t>
      </w:r>
      <w:r w:rsidRPr="00E302FE">
        <w:rPr>
          <w:sz w:val="24"/>
          <w:szCs w:val="24"/>
        </w:rPr>
        <w:t>ного или у разных профессиональных участников рынка ценных бумаг (кроме случаев пр</w:t>
      </w:r>
      <w:r w:rsidRPr="00E302FE">
        <w:rPr>
          <w:sz w:val="24"/>
          <w:szCs w:val="24"/>
        </w:rPr>
        <w:t>е</w:t>
      </w:r>
      <w:r w:rsidRPr="00E302FE">
        <w:rPr>
          <w:sz w:val="24"/>
          <w:szCs w:val="24"/>
        </w:rPr>
        <w:t>кращения договора на ведение индивидуального инвестиционного счета с переводом акт</w:t>
      </w:r>
      <w:r w:rsidRPr="00E302FE">
        <w:rPr>
          <w:sz w:val="24"/>
          <w:szCs w:val="24"/>
        </w:rPr>
        <w:t>и</w:t>
      </w:r>
      <w:r w:rsidRPr="00E302FE">
        <w:rPr>
          <w:sz w:val="24"/>
          <w:szCs w:val="24"/>
        </w:rPr>
        <w:t>вов, учитываемых на Индивидуальном инвестиционном счете, на другой Индивидуальный инвестиционный счет) приведет к тому, что Клиент не сможет воспользоваться инвестиц</w:t>
      </w:r>
      <w:r w:rsidRPr="00E302FE">
        <w:rPr>
          <w:sz w:val="24"/>
          <w:szCs w:val="24"/>
        </w:rPr>
        <w:t>и</w:t>
      </w:r>
      <w:r w:rsidRPr="00E302FE">
        <w:rPr>
          <w:sz w:val="24"/>
          <w:szCs w:val="24"/>
        </w:rPr>
        <w:t>онным налоговым вычетом ни по одному из них.</w:t>
      </w:r>
    </w:p>
    <w:p w:rsidR="00EE372F" w:rsidRPr="00E302FE" w:rsidRDefault="00EE372F" w:rsidP="00EE372F">
      <w:pPr>
        <w:ind w:firstLine="709"/>
        <w:jc w:val="both"/>
        <w:rPr>
          <w:b/>
          <w:i/>
          <w:sz w:val="24"/>
          <w:szCs w:val="24"/>
        </w:rPr>
      </w:pPr>
      <w:r w:rsidRPr="00E302FE">
        <w:rPr>
          <w:b/>
          <w:i/>
          <w:sz w:val="24"/>
          <w:szCs w:val="24"/>
        </w:rPr>
        <w:t>В отношении Договора на ведение индивидуального инвестиционного счета, по которому Клиент имеет право на получение налоговых вычетов на долгосрочные сб</w:t>
      </w:r>
      <w:r w:rsidRPr="00E302FE">
        <w:rPr>
          <w:b/>
          <w:i/>
          <w:sz w:val="24"/>
          <w:szCs w:val="24"/>
        </w:rPr>
        <w:t>е</w:t>
      </w:r>
      <w:r w:rsidRPr="00E302FE">
        <w:rPr>
          <w:b/>
          <w:i/>
          <w:sz w:val="24"/>
          <w:szCs w:val="24"/>
        </w:rPr>
        <w:t>режения граждан:</w:t>
      </w:r>
    </w:p>
    <w:p w:rsidR="00EE372F" w:rsidRPr="00E302FE" w:rsidRDefault="00EE372F" w:rsidP="00EE372F">
      <w:pPr>
        <w:ind w:firstLine="709"/>
        <w:jc w:val="both"/>
        <w:rPr>
          <w:sz w:val="24"/>
          <w:szCs w:val="24"/>
        </w:rPr>
      </w:pPr>
      <w:r w:rsidRPr="00E302FE">
        <w:rPr>
          <w:sz w:val="24"/>
          <w:szCs w:val="24"/>
        </w:rPr>
        <w:t>Заключение Договора на ведение индивидуального инвестиционного счета позволяет Клиенту получить налоговые вычеты на долгосрочные сбережения граждан.</w:t>
      </w:r>
    </w:p>
    <w:p w:rsidR="00EE372F" w:rsidRPr="00E302FE" w:rsidRDefault="00EE372F" w:rsidP="00EE372F">
      <w:pPr>
        <w:ind w:firstLine="709"/>
        <w:jc w:val="both"/>
        <w:rPr>
          <w:sz w:val="24"/>
          <w:szCs w:val="24"/>
        </w:rPr>
      </w:pPr>
      <w:r w:rsidRPr="00E302FE">
        <w:rPr>
          <w:sz w:val="24"/>
          <w:szCs w:val="24"/>
        </w:rPr>
        <w:t xml:space="preserve">Все риски, упомянутые в </w:t>
      </w:r>
      <w:r w:rsidR="00AE48FC">
        <w:rPr>
          <w:sz w:val="24"/>
          <w:szCs w:val="24"/>
        </w:rPr>
        <w:t>д</w:t>
      </w:r>
      <w:r w:rsidRPr="00E302FE">
        <w:rPr>
          <w:sz w:val="24"/>
          <w:szCs w:val="24"/>
        </w:rPr>
        <w:t>екларациях о рисках, имеют отношение и к Индивидуал</w:t>
      </w:r>
      <w:r w:rsidRPr="00E302FE">
        <w:rPr>
          <w:sz w:val="24"/>
          <w:szCs w:val="24"/>
        </w:rPr>
        <w:t>ь</w:t>
      </w:r>
      <w:r w:rsidRPr="00E302FE">
        <w:rPr>
          <w:sz w:val="24"/>
          <w:szCs w:val="24"/>
        </w:rPr>
        <w:t>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w:t>
      </w:r>
      <w:r w:rsidRPr="00E302FE">
        <w:rPr>
          <w:sz w:val="24"/>
          <w:szCs w:val="24"/>
        </w:rPr>
        <w:t>а</w:t>
      </w:r>
      <w:r w:rsidRPr="00E302FE">
        <w:rPr>
          <w:sz w:val="24"/>
          <w:szCs w:val="24"/>
        </w:rPr>
        <w:t>кие счета, и исключить риск лишиться таких преимуществ.</w:t>
      </w:r>
    </w:p>
    <w:p w:rsidR="00EE372F" w:rsidRPr="00E302FE" w:rsidRDefault="00EE372F" w:rsidP="00EE372F">
      <w:pPr>
        <w:ind w:firstLine="709"/>
        <w:jc w:val="both"/>
        <w:rPr>
          <w:sz w:val="24"/>
          <w:szCs w:val="24"/>
        </w:rPr>
      </w:pPr>
      <w:r w:rsidRPr="00E302FE">
        <w:rPr>
          <w:sz w:val="24"/>
          <w:szCs w:val="24"/>
        </w:rPr>
        <w:t>Существует два налоговых вычета на долгосрочные сбережения граждан (Клиент вправе получить оба налоговых вычета):</w:t>
      </w:r>
    </w:p>
    <w:p w:rsidR="00EE372F" w:rsidRPr="00E302FE" w:rsidRDefault="00EE372F" w:rsidP="00EE372F">
      <w:pPr>
        <w:ind w:firstLine="709"/>
        <w:jc w:val="both"/>
        <w:rPr>
          <w:sz w:val="24"/>
          <w:szCs w:val="24"/>
        </w:rPr>
      </w:pPr>
      <w:r w:rsidRPr="00E302FE">
        <w:rPr>
          <w:sz w:val="24"/>
          <w:szCs w:val="24"/>
        </w:rPr>
        <w:t>1) «на взнос», по которому Клиент может ежегодно обращаться за возвратом упл</w:t>
      </w:r>
      <w:r w:rsidRPr="00E302FE">
        <w:rPr>
          <w:sz w:val="24"/>
          <w:szCs w:val="24"/>
        </w:rPr>
        <w:t>а</w:t>
      </w:r>
      <w:r w:rsidRPr="00E302FE">
        <w:rPr>
          <w:sz w:val="24"/>
          <w:szCs w:val="24"/>
        </w:rPr>
        <w:t>ченного налога на доходы, получая вычет на сумму сделанного Клиентом в налоговом п</w:t>
      </w:r>
      <w:r w:rsidRPr="00E302FE">
        <w:rPr>
          <w:sz w:val="24"/>
          <w:szCs w:val="24"/>
        </w:rPr>
        <w:t>е</w:t>
      </w:r>
      <w:r w:rsidRPr="00E302FE">
        <w:rPr>
          <w:sz w:val="24"/>
          <w:szCs w:val="24"/>
        </w:rPr>
        <w:t>риоде взноса на Индивидуальный инвестиционный счет (с учетом особенностей, устано</w:t>
      </w:r>
      <w:r w:rsidRPr="00E302FE">
        <w:rPr>
          <w:sz w:val="24"/>
          <w:szCs w:val="24"/>
        </w:rPr>
        <w:t>в</w:t>
      </w:r>
      <w:r w:rsidRPr="00E302FE">
        <w:rPr>
          <w:sz w:val="24"/>
          <w:szCs w:val="24"/>
        </w:rPr>
        <w:t>ленных законодательством Российской Федерации о налогах и сборах);</w:t>
      </w:r>
    </w:p>
    <w:p w:rsidR="00EE372F" w:rsidRPr="00E302FE" w:rsidRDefault="00EE372F" w:rsidP="00EE372F">
      <w:pPr>
        <w:ind w:firstLine="709"/>
        <w:jc w:val="both"/>
        <w:rPr>
          <w:sz w:val="24"/>
          <w:szCs w:val="24"/>
        </w:rPr>
      </w:pPr>
      <w:r w:rsidRPr="00E302FE">
        <w:rPr>
          <w:sz w:val="24"/>
          <w:szCs w:val="24"/>
        </w:rPr>
        <w:t>2) «на изъятие средств со счета», по которому Клиент освобождается от уплаты нал</w:t>
      </w:r>
      <w:r w:rsidRPr="00E302FE">
        <w:rPr>
          <w:sz w:val="24"/>
          <w:szCs w:val="24"/>
        </w:rPr>
        <w:t>о</w:t>
      </w:r>
      <w:r w:rsidRPr="00E302FE">
        <w:rPr>
          <w:sz w:val="24"/>
          <w:szCs w:val="24"/>
        </w:rPr>
        <w:t>га при изъятии средств с Индивидуального инвестиционного счета при прекращении Дог</w:t>
      </w:r>
      <w:r w:rsidRPr="00E302FE">
        <w:rPr>
          <w:sz w:val="24"/>
          <w:szCs w:val="24"/>
        </w:rPr>
        <w:t>о</w:t>
      </w:r>
      <w:r w:rsidRPr="00E302FE">
        <w:rPr>
          <w:sz w:val="24"/>
          <w:szCs w:val="24"/>
        </w:rPr>
        <w:t>вора на ведение индивидуального инвестиционного счета (сумма вычета ограничена велич</w:t>
      </w:r>
      <w:r w:rsidRPr="00E302FE">
        <w:rPr>
          <w:sz w:val="24"/>
          <w:szCs w:val="24"/>
        </w:rPr>
        <w:t>и</w:t>
      </w:r>
      <w:r w:rsidRPr="00E302FE">
        <w:rPr>
          <w:sz w:val="24"/>
          <w:szCs w:val="24"/>
        </w:rPr>
        <w:t>ной, установленной Налоговым кодексом Российской Федерации).</w:t>
      </w:r>
    </w:p>
    <w:p w:rsidR="00EE372F" w:rsidRPr="00E302FE" w:rsidRDefault="00EE372F" w:rsidP="00EE372F">
      <w:pPr>
        <w:ind w:firstLine="709"/>
        <w:jc w:val="both"/>
        <w:rPr>
          <w:sz w:val="24"/>
          <w:szCs w:val="24"/>
        </w:rPr>
      </w:pPr>
      <w:r w:rsidRPr="00E302FE">
        <w:rPr>
          <w:sz w:val="24"/>
          <w:szCs w:val="24"/>
        </w:rPr>
        <w:t>Следует иметь в виду, что если Клиент прекратит Договор на ведение индивидуальн</w:t>
      </w:r>
      <w:r w:rsidRPr="00E302FE">
        <w:rPr>
          <w:sz w:val="24"/>
          <w:szCs w:val="24"/>
        </w:rPr>
        <w:t>о</w:t>
      </w:r>
      <w:r w:rsidRPr="00E302FE">
        <w:rPr>
          <w:sz w:val="24"/>
          <w:szCs w:val="24"/>
        </w:rPr>
        <w:t>го инвестиционного счета ранее установленного Налоговым кодексом Российской Федер</w:t>
      </w:r>
      <w:r w:rsidRPr="00E302FE">
        <w:rPr>
          <w:sz w:val="24"/>
          <w:szCs w:val="24"/>
        </w:rPr>
        <w:t>а</w:t>
      </w:r>
      <w:r w:rsidRPr="00E302FE">
        <w:rPr>
          <w:sz w:val="24"/>
          <w:szCs w:val="24"/>
        </w:rPr>
        <w:t>ции минимального срока, то не сможет воспользоваться налоговыми вычетами на долг</w:t>
      </w:r>
      <w:r w:rsidRPr="00E302FE">
        <w:rPr>
          <w:sz w:val="24"/>
          <w:szCs w:val="24"/>
        </w:rPr>
        <w:t>о</w:t>
      </w:r>
      <w:r w:rsidRPr="00E302FE">
        <w:rPr>
          <w:sz w:val="24"/>
          <w:szCs w:val="24"/>
        </w:rPr>
        <w:t>срочные сбережения граждан и, в случае если Клиент получал вычет «на взнос», возникнет обязанность вернуть государству (вернуть в бюджет) все суммы возвращенного Клиенту н</w:t>
      </w:r>
      <w:r w:rsidRPr="00E302FE">
        <w:rPr>
          <w:sz w:val="24"/>
          <w:szCs w:val="24"/>
        </w:rPr>
        <w:t>а</w:t>
      </w:r>
      <w:r w:rsidRPr="00E302FE">
        <w:rPr>
          <w:sz w:val="24"/>
          <w:szCs w:val="24"/>
        </w:rPr>
        <w:t>лога, а также выплатить соответствующие суммы пеней.</w:t>
      </w:r>
    </w:p>
    <w:p w:rsidR="00EE372F" w:rsidRPr="00E302FE" w:rsidRDefault="00EE372F" w:rsidP="00EE372F">
      <w:pPr>
        <w:ind w:firstLine="709"/>
        <w:jc w:val="both"/>
        <w:rPr>
          <w:sz w:val="24"/>
          <w:szCs w:val="24"/>
        </w:rPr>
      </w:pPr>
      <w:r w:rsidRPr="00E302FE">
        <w:rPr>
          <w:sz w:val="24"/>
          <w:szCs w:val="24"/>
        </w:rPr>
        <w:t>Для получения налоговых вычетов Клиент должен соблюдать установленное закон</w:t>
      </w:r>
      <w:r w:rsidRPr="00E302FE">
        <w:rPr>
          <w:sz w:val="24"/>
          <w:szCs w:val="24"/>
        </w:rPr>
        <w:t>о</w:t>
      </w:r>
      <w:r w:rsidRPr="00E302FE">
        <w:rPr>
          <w:sz w:val="24"/>
          <w:szCs w:val="24"/>
        </w:rPr>
        <w:t>дательством Российской Федерации условие об ограничении количества договоров на вед</w:t>
      </w:r>
      <w:r w:rsidRPr="00E302FE">
        <w:rPr>
          <w:sz w:val="24"/>
          <w:szCs w:val="24"/>
        </w:rPr>
        <w:t>е</w:t>
      </w:r>
      <w:r w:rsidRPr="00E302FE">
        <w:rPr>
          <w:sz w:val="24"/>
          <w:szCs w:val="24"/>
        </w:rPr>
        <w:t>ние индивидуального инвестиционного счета. В ином случае Клиент не сможет воспольз</w:t>
      </w:r>
      <w:r w:rsidRPr="00E302FE">
        <w:rPr>
          <w:sz w:val="24"/>
          <w:szCs w:val="24"/>
        </w:rPr>
        <w:t>о</w:t>
      </w:r>
      <w:r w:rsidRPr="00E302FE">
        <w:rPr>
          <w:sz w:val="24"/>
          <w:szCs w:val="24"/>
        </w:rPr>
        <w:t>ваться налоговыми вычетами на долгосрочные сбережения граждан.</w:t>
      </w:r>
    </w:p>
    <w:p w:rsidR="00EE372F" w:rsidRPr="00E302FE" w:rsidRDefault="00EE372F" w:rsidP="00EE372F">
      <w:pPr>
        <w:ind w:firstLine="709"/>
        <w:jc w:val="both"/>
        <w:rPr>
          <w:sz w:val="24"/>
          <w:szCs w:val="24"/>
        </w:rPr>
      </w:pPr>
      <w:r w:rsidRPr="00E302FE">
        <w:rPr>
          <w:sz w:val="24"/>
          <w:szCs w:val="24"/>
        </w:rPr>
        <w:t>Обращаем внимание на то, что налоговый вычет «на взнос» предоставляется Клиенту, если Договор на ведение индивидуального инвестиционного счета был заключен в соотве</w:t>
      </w:r>
      <w:r w:rsidRPr="00E302FE">
        <w:rPr>
          <w:sz w:val="24"/>
          <w:szCs w:val="24"/>
        </w:rPr>
        <w:t>т</w:t>
      </w:r>
      <w:r w:rsidRPr="00E302FE">
        <w:rPr>
          <w:sz w:val="24"/>
          <w:szCs w:val="24"/>
        </w:rPr>
        <w:t>ствующем налоговом периоде, либо был действителен в течение всего соответствующего н</w:t>
      </w:r>
      <w:r w:rsidRPr="00E302FE">
        <w:rPr>
          <w:sz w:val="24"/>
          <w:szCs w:val="24"/>
        </w:rPr>
        <w:t>а</w:t>
      </w:r>
      <w:r w:rsidRPr="00E302FE">
        <w:rPr>
          <w:sz w:val="24"/>
          <w:szCs w:val="24"/>
        </w:rPr>
        <w:t>логового периода, либо был прекращен с переводом Активов на другой индивидуальный и</w:t>
      </w:r>
      <w:r w:rsidRPr="00E302FE">
        <w:rPr>
          <w:sz w:val="24"/>
          <w:szCs w:val="24"/>
        </w:rPr>
        <w:t>н</w:t>
      </w:r>
      <w:r w:rsidRPr="00E302FE">
        <w:rPr>
          <w:sz w:val="24"/>
          <w:szCs w:val="24"/>
        </w:rPr>
        <w:t>вестиционный счет, открытый в целях перевода Активов. При прекращении Договора на в</w:t>
      </w:r>
      <w:r w:rsidRPr="00E302FE">
        <w:rPr>
          <w:sz w:val="24"/>
          <w:szCs w:val="24"/>
        </w:rPr>
        <w:t>е</w:t>
      </w:r>
      <w:r w:rsidRPr="00E302FE">
        <w:rPr>
          <w:sz w:val="24"/>
          <w:szCs w:val="24"/>
        </w:rPr>
        <w:t>дение индивидуального инвестиционного счета (кроме досрочного или с переводом Акт</w:t>
      </w:r>
      <w:r w:rsidRPr="00E302FE">
        <w:rPr>
          <w:sz w:val="24"/>
          <w:szCs w:val="24"/>
        </w:rPr>
        <w:t>и</w:t>
      </w:r>
      <w:r w:rsidRPr="00E302FE">
        <w:rPr>
          <w:sz w:val="24"/>
          <w:szCs w:val="24"/>
        </w:rPr>
        <w:t>вов) предоставление вычета «на взнос» прекращается по всем договорам на ведение индив</w:t>
      </w:r>
      <w:r w:rsidRPr="00E302FE">
        <w:rPr>
          <w:sz w:val="24"/>
          <w:szCs w:val="24"/>
        </w:rPr>
        <w:t>и</w:t>
      </w:r>
      <w:r w:rsidRPr="00E302FE">
        <w:rPr>
          <w:sz w:val="24"/>
          <w:szCs w:val="24"/>
        </w:rPr>
        <w:t>дуального инвестиционного счета, заключенным до момента прекращения Договора на вед</w:t>
      </w:r>
      <w:r w:rsidRPr="00E302FE">
        <w:rPr>
          <w:sz w:val="24"/>
          <w:szCs w:val="24"/>
        </w:rPr>
        <w:t>е</w:t>
      </w:r>
      <w:r w:rsidRPr="00E302FE">
        <w:rPr>
          <w:sz w:val="24"/>
          <w:szCs w:val="24"/>
        </w:rPr>
        <w:t>ние индивидуального инвестиционного счета.</w:t>
      </w:r>
    </w:p>
    <w:p w:rsidR="00EE372F" w:rsidRPr="00E302FE" w:rsidRDefault="00EE372F" w:rsidP="00EE372F">
      <w:pPr>
        <w:ind w:firstLine="709"/>
        <w:jc w:val="both"/>
        <w:rPr>
          <w:sz w:val="24"/>
          <w:szCs w:val="24"/>
        </w:rPr>
      </w:pPr>
      <w:r w:rsidRPr="00E302FE">
        <w:rPr>
          <w:sz w:val="24"/>
          <w:szCs w:val="24"/>
        </w:rPr>
        <w:t>Банк не участвует в отношениях Клиента с налоговым органом.</w:t>
      </w:r>
    </w:p>
    <w:p w:rsidR="00EE372F" w:rsidRPr="00E302FE" w:rsidRDefault="00EE372F" w:rsidP="00EE372F">
      <w:pPr>
        <w:ind w:firstLine="709"/>
        <w:jc w:val="both"/>
        <w:rPr>
          <w:sz w:val="24"/>
          <w:szCs w:val="24"/>
        </w:rPr>
      </w:pPr>
      <w:r w:rsidRPr="00E302FE">
        <w:rPr>
          <w:sz w:val="24"/>
          <w:szCs w:val="24"/>
        </w:rPr>
        <w:t>Клиент должен учитывать наличие у него заключенных договоров негосударственн</w:t>
      </w:r>
      <w:r w:rsidRPr="00E302FE">
        <w:rPr>
          <w:sz w:val="24"/>
          <w:szCs w:val="24"/>
        </w:rPr>
        <w:t>о</w:t>
      </w:r>
      <w:r w:rsidRPr="00E302FE">
        <w:rPr>
          <w:sz w:val="24"/>
          <w:szCs w:val="24"/>
        </w:rPr>
        <w:t>го пенсионного обеспечения и договоров долгосрочных сбережений, также предоставля</w:t>
      </w:r>
      <w:r w:rsidRPr="00E302FE">
        <w:rPr>
          <w:sz w:val="24"/>
          <w:szCs w:val="24"/>
        </w:rPr>
        <w:t>ю</w:t>
      </w:r>
      <w:r w:rsidRPr="00E302FE">
        <w:rPr>
          <w:sz w:val="24"/>
          <w:szCs w:val="24"/>
        </w:rPr>
        <w:t>щих Клиенту право на получение налоговых вычетов на долгосрочные сбережения граждан.</w:t>
      </w:r>
    </w:p>
    <w:p w:rsidR="00EE372F" w:rsidRDefault="00EE372F" w:rsidP="00E302FE">
      <w:pPr>
        <w:ind w:firstLine="709"/>
        <w:jc w:val="both"/>
        <w:rPr>
          <w:sz w:val="24"/>
          <w:szCs w:val="24"/>
        </w:rPr>
      </w:pPr>
    </w:p>
    <w:p w:rsidR="00EE372F" w:rsidRPr="00E302FE" w:rsidRDefault="001D093C" w:rsidP="00AE48FC">
      <w:pPr>
        <w:ind w:firstLine="709"/>
        <w:jc w:val="center"/>
        <w:rPr>
          <w:b/>
          <w:sz w:val="24"/>
          <w:szCs w:val="24"/>
        </w:rPr>
      </w:pPr>
      <w:r>
        <w:rPr>
          <w:b/>
          <w:sz w:val="24"/>
          <w:szCs w:val="24"/>
        </w:rPr>
        <w:t>4</w:t>
      </w:r>
      <w:r w:rsidR="00EE372F" w:rsidRPr="00E302FE">
        <w:rPr>
          <w:b/>
          <w:sz w:val="24"/>
          <w:szCs w:val="24"/>
        </w:rPr>
        <w:t>. ДЕКЛАРАЦИЯ О РИСКАХ,</w:t>
      </w:r>
    </w:p>
    <w:p w:rsidR="00AE48FC" w:rsidRDefault="00EE372F" w:rsidP="00AE48FC">
      <w:pPr>
        <w:ind w:firstLine="709"/>
        <w:jc w:val="center"/>
        <w:rPr>
          <w:b/>
          <w:sz w:val="24"/>
          <w:szCs w:val="24"/>
        </w:rPr>
      </w:pPr>
      <w:r w:rsidRPr="00E302FE">
        <w:rPr>
          <w:b/>
          <w:sz w:val="24"/>
          <w:szCs w:val="24"/>
        </w:rPr>
        <w:lastRenderedPageBreak/>
        <w:t>СВЯЗАННЫ</w:t>
      </w:r>
      <w:r w:rsidR="00AE48FC">
        <w:rPr>
          <w:b/>
          <w:sz w:val="24"/>
          <w:szCs w:val="24"/>
        </w:rPr>
        <w:t>Х С ПРИОБРЕТЕНИЕМ ЦЕННЫХ БУМАГ,</w:t>
      </w:r>
    </w:p>
    <w:p w:rsidR="00AE48FC" w:rsidRDefault="00EE372F" w:rsidP="00AE48FC">
      <w:pPr>
        <w:ind w:firstLine="709"/>
        <w:jc w:val="center"/>
        <w:rPr>
          <w:b/>
          <w:sz w:val="24"/>
          <w:szCs w:val="24"/>
        </w:rPr>
      </w:pPr>
      <w:r w:rsidRPr="00E302FE">
        <w:rPr>
          <w:b/>
          <w:sz w:val="24"/>
          <w:szCs w:val="24"/>
        </w:rPr>
        <w:t>ВКЛЮЧЕННЫХ В ТРЕТИЙ УРОВЕНЬ,</w:t>
      </w:r>
      <w:r w:rsidR="00AE48FC">
        <w:rPr>
          <w:b/>
          <w:sz w:val="24"/>
          <w:szCs w:val="24"/>
        </w:rPr>
        <w:t xml:space="preserve"> С ОБЪЕМОМ ВЫПУСКА</w:t>
      </w:r>
    </w:p>
    <w:p w:rsidR="00AE48FC" w:rsidRDefault="00EE372F" w:rsidP="00AE48FC">
      <w:pPr>
        <w:ind w:firstLine="709"/>
        <w:jc w:val="center"/>
        <w:rPr>
          <w:b/>
          <w:sz w:val="24"/>
          <w:szCs w:val="24"/>
        </w:rPr>
      </w:pPr>
      <w:r w:rsidRPr="00E302FE">
        <w:rPr>
          <w:b/>
          <w:sz w:val="24"/>
          <w:szCs w:val="24"/>
        </w:rPr>
        <w:t>НЕ БОЛЕЕ 1 МЛРД. РУБ.,</w:t>
      </w:r>
      <w:r w:rsidR="00AE48FC">
        <w:rPr>
          <w:b/>
          <w:sz w:val="24"/>
          <w:szCs w:val="24"/>
        </w:rPr>
        <w:t xml:space="preserve"> БЕЗ КРЕДИТНОГО РЕЙТИНГА,</w:t>
      </w:r>
    </w:p>
    <w:p w:rsidR="00AE48FC" w:rsidRDefault="00EE372F" w:rsidP="00AE48FC">
      <w:pPr>
        <w:ind w:firstLine="709"/>
        <w:jc w:val="center"/>
        <w:rPr>
          <w:b/>
          <w:sz w:val="24"/>
          <w:szCs w:val="24"/>
        </w:rPr>
      </w:pPr>
      <w:r w:rsidRPr="00E302FE">
        <w:rPr>
          <w:b/>
          <w:sz w:val="24"/>
          <w:szCs w:val="24"/>
        </w:rPr>
        <w:t>ПРИСВОЕННОГО</w:t>
      </w:r>
      <w:r w:rsidR="00AE48FC">
        <w:rPr>
          <w:b/>
          <w:sz w:val="24"/>
          <w:szCs w:val="24"/>
        </w:rPr>
        <w:t xml:space="preserve"> </w:t>
      </w:r>
      <w:r w:rsidRPr="00E302FE">
        <w:rPr>
          <w:b/>
          <w:sz w:val="24"/>
          <w:szCs w:val="24"/>
        </w:rPr>
        <w:t>КРЕДИТНЫМ РЕЙТИНГОВЫМ АГЕНТСТВОМ</w:t>
      </w:r>
    </w:p>
    <w:p w:rsidR="00EE372F" w:rsidRPr="00E302FE" w:rsidRDefault="00EE372F" w:rsidP="00AE48FC">
      <w:pPr>
        <w:ind w:firstLine="709"/>
        <w:jc w:val="center"/>
        <w:rPr>
          <w:b/>
          <w:sz w:val="24"/>
          <w:szCs w:val="24"/>
        </w:rPr>
      </w:pPr>
      <w:r w:rsidRPr="00E302FE">
        <w:rPr>
          <w:b/>
          <w:sz w:val="24"/>
          <w:szCs w:val="24"/>
        </w:rPr>
        <w:t>ЭМИТЕНТУ И (ИЛИ) ВЫПУСКУ</w:t>
      </w:r>
    </w:p>
    <w:p w:rsidR="00EE372F" w:rsidRPr="00E302FE" w:rsidRDefault="00EE372F" w:rsidP="00EE372F">
      <w:pPr>
        <w:ind w:firstLine="709"/>
        <w:jc w:val="both"/>
        <w:rPr>
          <w:sz w:val="24"/>
          <w:szCs w:val="24"/>
        </w:rPr>
      </w:pPr>
    </w:p>
    <w:p w:rsidR="00EE372F" w:rsidRPr="00E302FE" w:rsidRDefault="00AE48FC" w:rsidP="00EE372F">
      <w:pPr>
        <w:adjustRightInd w:val="0"/>
        <w:ind w:firstLine="709"/>
        <w:jc w:val="both"/>
        <w:rPr>
          <w:b/>
          <w:color w:val="000000"/>
          <w:sz w:val="24"/>
          <w:szCs w:val="24"/>
        </w:rPr>
      </w:pPr>
      <w:r>
        <w:rPr>
          <w:b/>
          <w:color w:val="000000"/>
          <w:sz w:val="24"/>
          <w:szCs w:val="24"/>
        </w:rPr>
        <w:t>Настоящая д</w:t>
      </w:r>
      <w:r w:rsidR="00EE372F" w:rsidRPr="00E302FE">
        <w:rPr>
          <w:b/>
          <w:color w:val="000000"/>
          <w:sz w:val="24"/>
          <w:szCs w:val="24"/>
        </w:rPr>
        <w:t>екларация содержит в себе описание рисков, связанных с инвест</w:t>
      </w:r>
      <w:r w:rsidR="00EE372F" w:rsidRPr="00E302FE">
        <w:rPr>
          <w:b/>
          <w:color w:val="000000"/>
          <w:sz w:val="24"/>
          <w:szCs w:val="24"/>
        </w:rPr>
        <w:t>и</w:t>
      </w:r>
      <w:r w:rsidR="00EE372F" w:rsidRPr="00E302FE">
        <w:rPr>
          <w:b/>
          <w:color w:val="000000"/>
          <w:sz w:val="24"/>
          <w:szCs w:val="24"/>
        </w:rPr>
        <w:t xml:space="preserve">рованием средств в ценные бумаги, включенные в некотировальную часть Списка ценных бумаг, допущенных к торгам в ПАО Московская Биржа (далее </w:t>
      </w:r>
      <w:r>
        <w:rPr>
          <w:b/>
          <w:color w:val="000000"/>
          <w:sz w:val="24"/>
          <w:szCs w:val="24"/>
        </w:rPr>
        <w:t>-</w:t>
      </w:r>
      <w:r w:rsidR="00EE372F" w:rsidRPr="00E302FE">
        <w:rPr>
          <w:b/>
          <w:color w:val="000000"/>
          <w:sz w:val="24"/>
          <w:szCs w:val="24"/>
        </w:rPr>
        <w:t xml:space="preserve"> Третий ур</w:t>
      </w:r>
      <w:r w:rsidR="00EE372F" w:rsidRPr="00E302FE">
        <w:rPr>
          <w:b/>
          <w:color w:val="000000"/>
          <w:sz w:val="24"/>
          <w:szCs w:val="24"/>
        </w:rPr>
        <w:t>о</w:t>
      </w:r>
      <w:r w:rsidR="00EE372F" w:rsidRPr="00E302FE">
        <w:rPr>
          <w:b/>
          <w:color w:val="000000"/>
          <w:sz w:val="24"/>
          <w:szCs w:val="24"/>
        </w:rPr>
        <w:t xml:space="preserve">вень), с объемом выпуска не более 1 млрд. руб. (применительно для облигаций), без кредитного рейтинга, присвоенного кредитным рейтинговым агентством эмитенту и (или) выпуску (далее </w:t>
      </w:r>
      <w:r>
        <w:rPr>
          <w:b/>
          <w:color w:val="000000"/>
          <w:sz w:val="24"/>
          <w:szCs w:val="24"/>
        </w:rPr>
        <w:t>-</w:t>
      </w:r>
      <w:r w:rsidR="00EE372F" w:rsidRPr="00E302FE">
        <w:rPr>
          <w:b/>
          <w:color w:val="000000"/>
          <w:sz w:val="24"/>
          <w:szCs w:val="24"/>
        </w:rPr>
        <w:t xml:space="preserve"> Ценные бумаги) (не применимо для облигаций, по которым пр</w:t>
      </w:r>
      <w:r w:rsidR="00EE372F" w:rsidRPr="00E302FE">
        <w:rPr>
          <w:b/>
          <w:color w:val="000000"/>
          <w:sz w:val="24"/>
          <w:szCs w:val="24"/>
        </w:rPr>
        <w:t>е</w:t>
      </w:r>
      <w:r w:rsidR="00EE372F" w:rsidRPr="00E302FE">
        <w:rPr>
          <w:b/>
          <w:color w:val="000000"/>
          <w:sz w:val="24"/>
          <w:szCs w:val="24"/>
        </w:rPr>
        <w:t>дусмотрена финансовая поддержка/гарантия от одного из институтов развития в о</w:t>
      </w:r>
      <w:r w:rsidR="00EE372F" w:rsidRPr="00E302FE">
        <w:rPr>
          <w:b/>
          <w:color w:val="000000"/>
          <w:sz w:val="24"/>
          <w:szCs w:val="24"/>
        </w:rPr>
        <w:t>б</w:t>
      </w:r>
      <w:r w:rsidR="00EE372F" w:rsidRPr="00E302FE">
        <w:rPr>
          <w:b/>
          <w:color w:val="000000"/>
          <w:sz w:val="24"/>
          <w:szCs w:val="24"/>
        </w:rPr>
        <w:t>ласти поддержки малого и среднего предпринимательства).</w:t>
      </w:r>
    </w:p>
    <w:p w:rsidR="00EE372F" w:rsidRPr="00E302FE" w:rsidRDefault="00EE372F" w:rsidP="00EE372F">
      <w:pPr>
        <w:adjustRightInd w:val="0"/>
        <w:ind w:firstLine="709"/>
        <w:jc w:val="both"/>
        <w:rPr>
          <w:color w:val="000000"/>
          <w:sz w:val="24"/>
          <w:szCs w:val="24"/>
        </w:rPr>
      </w:pPr>
      <w:r w:rsidRPr="00E302FE">
        <w:rPr>
          <w:color w:val="000000"/>
          <w:sz w:val="24"/>
          <w:szCs w:val="24"/>
        </w:rPr>
        <w:t>Инвестиционная деятельность с ценными бумагами, включенными в Третий уровень, отличается повышенной степенью риска поскольку предполагает включение в указанный уровень листинга ценных бумаг новых небольших компаний, а также компаний, использу</w:t>
      </w:r>
      <w:r w:rsidRPr="00E302FE">
        <w:rPr>
          <w:color w:val="000000"/>
          <w:sz w:val="24"/>
          <w:szCs w:val="24"/>
        </w:rPr>
        <w:t>ю</w:t>
      </w:r>
      <w:r w:rsidRPr="00E302FE">
        <w:rPr>
          <w:color w:val="000000"/>
          <w:sz w:val="24"/>
          <w:szCs w:val="24"/>
        </w:rPr>
        <w:t>щих в своей деятельности новые и специфические технологии, научные исследования и пр. Инвестирование в ценные бумаги указанных компаний несет в себе не только рыночный риск инвестиций в ценные бумаги, но и повышенный риск специфической деятельности компании. Указанные компании и их облигационные выпуски не были исследованы креди</w:t>
      </w:r>
      <w:r w:rsidRPr="00E302FE">
        <w:rPr>
          <w:color w:val="000000"/>
          <w:sz w:val="24"/>
          <w:szCs w:val="24"/>
        </w:rPr>
        <w:t>т</w:t>
      </w:r>
      <w:r w:rsidRPr="00E302FE">
        <w:rPr>
          <w:color w:val="000000"/>
          <w:sz w:val="24"/>
          <w:szCs w:val="24"/>
        </w:rPr>
        <w:t>ными рейтинговыми агентствами, и не имеют оценок их кредитного качества. Совершение сделок с данными ценными бумагами может привести к потере не только ожидаемого дохода от инвестируемых средств, но и к потерям инвестируемых средств.</w:t>
      </w:r>
    </w:p>
    <w:p w:rsidR="00EE372F" w:rsidRPr="00E302FE" w:rsidRDefault="00EE372F" w:rsidP="00EE372F">
      <w:pPr>
        <w:adjustRightInd w:val="0"/>
        <w:ind w:firstLine="709"/>
        <w:jc w:val="both"/>
        <w:rPr>
          <w:color w:val="000000"/>
          <w:sz w:val="24"/>
          <w:szCs w:val="24"/>
        </w:rPr>
      </w:pPr>
      <w:r w:rsidRPr="00E302FE">
        <w:rPr>
          <w:color w:val="000000"/>
          <w:sz w:val="24"/>
          <w:szCs w:val="24"/>
        </w:rPr>
        <w:t>Обращаем Ваше внимание на то, что вследствие разнообразия ситуаций, возника</w:t>
      </w:r>
      <w:r w:rsidRPr="00E302FE">
        <w:rPr>
          <w:color w:val="000000"/>
          <w:sz w:val="24"/>
          <w:szCs w:val="24"/>
        </w:rPr>
        <w:t>ю</w:t>
      </w:r>
      <w:r w:rsidRPr="00E302FE">
        <w:rPr>
          <w:color w:val="000000"/>
          <w:sz w:val="24"/>
          <w:szCs w:val="24"/>
        </w:rPr>
        <w:t xml:space="preserve">щих на рынке ценных бумаг, перечень рисков в настоящей </w:t>
      </w:r>
      <w:r w:rsidR="00AE48FC">
        <w:rPr>
          <w:color w:val="000000"/>
          <w:sz w:val="24"/>
          <w:szCs w:val="24"/>
        </w:rPr>
        <w:t>д</w:t>
      </w:r>
      <w:r w:rsidRPr="00E302FE">
        <w:rPr>
          <w:color w:val="000000"/>
          <w:sz w:val="24"/>
          <w:szCs w:val="24"/>
        </w:rPr>
        <w:t>екларации не является исчерп</w:t>
      </w:r>
      <w:r w:rsidRPr="00E302FE">
        <w:rPr>
          <w:color w:val="000000"/>
          <w:sz w:val="24"/>
          <w:szCs w:val="24"/>
        </w:rPr>
        <w:t>ы</w:t>
      </w:r>
      <w:r w:rsidRPr="00E302FE">
        <w:rPr>
          <w:color w:val="000000"/>
          <w:sz w:val="24"/>
          <w:szCs w:val="24"/>
        </w:rPr>
        <w:t>вающим и не раскрывает информации обо всех рисках, связанных с инвестированием в Це</w:t>
      </w:r>
      <w:r w:rsidRPr="00E302FE">
        <w:rPr>
          <w:color w:val="000000"/>
          <w:sz w:val="24"/>
          <w:szCs w:val="24"/>
        </w:rPr>
        <w:t>н</w:t>
      </w:r>
      <w:r w:rsidRPr="00E302FE">
        <w:rPr>
          <w:color w:val="000000"/>
          <w:sz w:val="24"/>
          <w:szCs w:val="24"/>
        </w:rPr>
        <w:t>ные бумаги.</w:t>
      </w:r>
    </w:p>
    <w:p w:rsidR="00EE372F" w:rsidRDefault="00EE372F" w:rsidP="00EE372F">
      <w:pPr>
        <w:adjustRightInd w:val="0"/>
        <w:ind w:firstLine="709"/>
        <w:jc w:val="both"/>
        <w:rPr>
          <w:color w:val="000000"/>
          <w:sz w:val="24"/>
          <w:szCs w:val="24"/>
        </w:rPr>
      </w:pPr>
      <w:r w:rsidRPr="00E302FE">
        <w:rPr>
          <w:color w:val="000000"/>
          <w:sz w:val="24"/>
          <w:szCs w:val="24"/>
        </w:rPr>
        <w:t>Инвестированию в ценные бумаги указанных компаний присущи общие риски, св</w:t>
      </w:r>
      <w:r w:rsidRPr="00E302FE">
        <w:rPr>
          <w:color w:val="000000"/>
          <w:sz w:val="24"/>
          <w:szCs w:val="24"/>
        </w:rPr>
        <w:t>я</w:t>
      </w:r>
      <w:r w:rsidRPr="00E302FE">
        <w:rPr>
          <w:color w:val="000000"/>
          <w:sz w:val="24"/>
          <w:szCs w:val="24"/>
        </w:rPr>
        <w:t>занные с операциями на рынке ценных бумаг, с особенностями, рассмотрен</w:t>
      </w:r>
      <w:r w:rsidR="00AE48FC">
        <w:rPr>
          <w:color w:val="000000"/>
          <w:sz w:val="24"/>
          <w:szCs w:val="24"/>
        </w:rPr>
        <w:t>ными ниже. Для целей настоящей д</w:t>
      </w:r>
      <w:r w:rsidRPr="00E302FE">
        <w:rPr>
          <w:color w:val="000000"/>
          <w:sz w:val="24"/>
          <w:szCs w:val="24"/>
        </w:rPr>
        <w:t>екларации под риском при осуществлении операций на рынке ценных б</w:t>
      </w:r>
      <w:r w:rsidRPr="00E302FE">
        <w:rPr>
          <w:color w:val="000000"/>
          <w:sz w:val="24"/>
          <w:szCs w:val="24"/>
        </w:rPr>
        <w:t>у</w:t>
      </w:r>
      <w:r w:rsidRPr="00E302FE">
        <w:rPr>
          <w:color w:val="000000"/>
          <w:sz w:val="24"/>
          <w:szCs w:val="24"/>
        </w:rPr>
        <w:t>маг понимается возможность наступления события, влекущего или могущего повлечь за с</w:t>
      </w:r>
      <w:r w:rsidRPr="00E302FE">
        <w:rPr>
          <w:color w:val="000000"/>
          <w:sz w:val="24"/>
          <w:szCs w:val="24"/>
        </w:rPr>
        <w:t>о</w:t>
      </w:r>
      <w:r w:rsidRPr="00E302FE">
        <w:rPr>
          <w:color w:val="000000"/>
          <w:sz w:val="24"/>
          <w:szCs w:val="24"/>
        </w:rPr>
        <w:t>бой потери Клиентом своих инвестированных активов.</w:t>
      </w:r>
    </w:p>
    <w:p w:rsidR="00AE48FC" w:rsidRPr="00E302FE" w:rsidRDefault="00AE48FC" w:rsidP="00EE372F">
      <w:pPr>
        <w:adjustRightInd w:val="0"/>
        <w:ind w:firstLine="709"/>
        <w:jc w:val="both"/>
        <w:rPr>
          <w:color w:val="000000"/>
          <w:sz w:val="24"/>
          <w:szCs w:val="24"/>
        </w:rPr>
      </w:pPr>
    </w:p>
    <w:p w:rsidR="00EE372F" w:rsidRPr="00E302FE" w:rsidRDefault="00EE372F" w:rsidP="00EE372F">
      <w:pPr>
        <w:adjustRightInd w:val="0"/>
        <w:ind w:firstLine="709"/>
        <w:jc w:val="both"/>
        <w:rPr>
          <w:i/>
          <w:color w:val="000000"/>
          <w:sz w:val="24"/>
          <w:szCs w:val="24"/>
        </w:rPr>
      </w:pPr>
      <w:r w:rsidRPr="00E302FE">
        <w:rPr>
          <w:b/>
          <w:bCs/>
          <w:i/>
          <w:color w:val="000000"/>
          <w:sz w:val="24"/>
          <w:szCs w:val="24"/>
        </w:rPr>
        <w:t>Риск увеличения затрат на исследование</w:t>
      </w:r>
    </w:p>
    <w:p w:rsidR="00EE372F" w:rsidRDefault="00EE372F" w:rsidP="00EE372F">
      <w:pPr>
        <w:adjustRightInd w:val="0"/>
        <w:ind w:firstLine="709"/>
        <w:jc w:val="both"/>
        <w:rPr>
          <w:color w:val="000000"/>
          <w:sz w:val="24"/>
          <w:szCs w:val="24"/>
        </w:rPr>
      </w:pPr>
      <w:r w:rsidRPr="00E302FE">
        <w:rPr>
          <w:color w:val="000000"/>
          <w:sz w:val="24"/>
          <w:szCs w:val="24"/>
        </w:rPr>
        <w:t>В силу того, что компании - эмитенты Ценных бумаг часто работают в «нестандар</w:t>
      </w:r>
      <w:r w:rsidRPr="00E302FE">
        <w:rPr>
          <w:color w:val="000000"/>
          <w:sz w:val="24"/>
          <w:szCs w:val="24"/>
        </w:rPr>
        <w:t>т</w:t>
      </w:r>
      <w:r w:rsidRPr="00E302FE">
        <w:rPr>
          <w:color w:val="000000"/>
          <w:sz w:val="24"/>
          <w:szCs w:val="24"/>
        </w:rPr>
        <w:t>ных» секторах экономики, и на них распространяются облегченные требования к раскрытию информации (в т.ч. финансовой отчетности), что сопряжено с недостатком информационно-аналитического материала, схем и методов анализа таких компаний. Таким образом, будет достаточно сложно сделать глубокую профессиональную оценку таких компаний и опред</w:t>
      </w:r>
      <w:r w:rsidRPr="00E302FE">
        <w:rPr>
          <w:color w:val="000000"/>
          <w:sz w:val="24"/>
          <w:szCs w:val="24"/>
        </w:rPr>
        <w:t>е</w:t>
      </w:r>
      <w:r w:rsidRPr="00E302FE">
        <w:rPr>
          <w:color w:val="000000"/>
          <w:sz w:val="24"/>
          <w:szCs w:val="24"/>
        </w:rPr>
        <w:t>лить перспективы их развития, либо это может сопровождаться увеличением затрат на такое исследование. Отсутствие такой оценки может вызвать затруднения при выборе компании для инвестирования своих активов.</w:t>
      </w:r>
    </w:p>
    <w:p w:rsidR="00AE48FC" w:rsidRPr="00E302FE" w:rsidRDefault="00AE48FC" w:rsidP="00EE372F">
      <w:pPr>
        <w:adjustRightInd w:val="0"/>
        <w:ind w:firstLine="709"/>
        <w:jc w:val="both"/>
        <w:rPr>
          <w:color w:val="000000"/>
          <w:sz w:val="24"/>
          <w:szCs w:val="24"/>
        </w:rPr>
      </w:pPr>
    </w:p>
    <w:p w:rsidR="00EE372F" w:rsidRPr="00E302FE" w:rsidRDefault="00EE372F" w:rsidP="00EE372F">
      <w:pPr>
        <w:adjustRightInd w:val="0"/>
        <w:ind w:firstLine="709"/>
        <w:jc w:val="both"/>
        <w:rPr>
          <w:i/>
          <w:sz w:val="24"/>
          <w:szCs w:val="24"/>
        </w:rPr>
      </w:pPr>
      <w:r w:rsidRPr="00E302FE">
        <w:rPr>
          <w:b/>
          <w:bCs/>
          <w:i/>
          <w:sz w:val="24"/>
          <w:szCs w:val="24"/>
        </w:rPr>
        <w:t>Риск, связанный с оценкой инвестиционного проекта компании</w:t>
      </w:r>
    </w:p>
    <w:p w:rsidR="00EE372F" w:rsidRDefault="00EE372F" w:rsidP="00EE372F">
      <w:pPr>
        <w:adjustRightInd w:val="0"/>
        <w:ind w:firstLine="709"/>
        <w:jc w:val="both"/>
        <w:rPr>
          <w:sz w:val="24"/>
          <w:szCs w:val="24"/>
        </w:rPr>
      </w:pPr>
      <w:r w:rsidRPr="00E302FE">
        <w:rPr>
          <w:sz w:val="24"/>
          <w:szCs w:val="24"/>
        </w:rPr>
        <w:t>Одной из целей выхода на фондовой рынок эмитентов Ценных бумаг может быть привлечение дополнительных средств под какой-либо инвестиционный проект, реализация которого, по мнению менеджеров компании, будет способствовать росту ее капитализации. Однако в силу специфики развития некоторых секторов экономики, в которых осуществляют свою деятельность данные компании, может сложиться ситуация, при которой сложно будет сформировать профессиональную оценку предлагаемого компанией инвестиционного прое</w:t>
      </w:r>
      <w:r w:rsidRPr="00E302FE">
        <w:rPr>
          <w:sz w:val="24"/>
          <w:szCs w:val="24"/>
        </w:rPr>
        <w:t>к</w:t>
      </w:r>
      <w:r w:rsidRPr="00E302FE">
        <w:rPr>
          <w:sz w:val="24"/>
          <w:szCs w:val="24"/>
        </w:rPr>
        <w:t>та.</w:t>
      </w:r>
    </w:p>
    <w:p w:rsidR="009E3DAF" w:rsidRPr="00E302FE" w:rsidRDefault="009E3DAF" w:rsidP="00EE372F">
      <w:pPr>
        <w:adjustRightInd w:val="0"/>
        <w:ind w:firstLine="709"/>
        <w:jc w:val="both"/>
        <w:rPr>
          <w:sz w:val="24"/>
          <w:szCs w:val="24"/>
        </w:rPr>
      </w:pPr>
    </w:p>
    <w:p w:rsidR="00EE372F" w:rsidRPr="00E302FE" w:rsidRDefault="00EE372F" w:rsidP="00EE372F">
      <w:pPr>
        <w:adjustRightInd w:val="0"/>
        <w:ind w:firstLine="709"/>
        <w:jc w:val="both"/>
        <w:rPr>
          <w:i/>
          <w:sz w:val="24"/>
          <w:szCs w:val="24"/>
        </w:rPr>
      </w:pPr>
      <w:r w:rsidRPr="00E302FE">
        <w:rPr>
          <w:b/>
          <w:bCs/>
          <w:i/>
          <w:sz w:val="24"/>
          <w:szCs w:val="24"/>
        </w:rPr>
        <w:lastRenderedPageBreak/>
        <w:t>Финансово-экономические, правовые, политические риски</w:t>
      </w:r>
    </w:p>
    <w:p w:rsidR="00EE372F" w:rsidRPr="00E302FE" w:rsidRDefault="00F406AF" w:rsidP="00EE372F">
      <w:pPr>
        <w:adjustRightInd w:val="0"/>
        <w:ind w:firstLine="709"/>
        <w:jc w:val="both"/>
        <w:rPr>
          <w:sz w:val="24"/>
          <w:szCs w:val="24"/>
        </w:rPr>
      </w:pPr>
      <w:r>
        <w:rPr>
          <w:sz w:val="24"/>
          <w:szCs w:val="24"/>
        </w:rPr>
        <w:t>Небольшие компании -</w:t>
      </w:r>
      <w:r w:rsidR="00EE372F" w:rsidRPr="00E302FE">
        <w:rPr>
          <w:sz w:val="24"/>
          <w:szCs w:val="24"/>
        </w:rPr>
        <w:t xml:space="preserve"> эмитенты Ценных бумаг более зависимы от внешних факт</w:t>
      </w:r>
      <w:r w:rsidR="00EE372F" w:rsidRPr="00E302FE">
        <w:rPr>
          <w:sz w:val="24"/>
          <w:szCs w:val="24"/>
        </w:rPr>
        <w:t>о</w:t>
      </w:r>
      <w:r w:rsidR="00EE372F" w:rsidRPr="00E302FE">
        <w:rPr>
          <w:sz w:val="24"/>
          <w:szCs w:val="24"/>
        </w:rPr>
        <w:t>ров, в том числе от макро-экономической обстановки. Данные компании обладают сравн</w:t>
      </w:r>
      <w:r w:rsidR="00EE372F" w:rsidRPr="00E302FE">
        <w:rPr>
          <w:sz w:val="24"/>
          <w:szCs w:val="24"/>
        </w:rPr>
        <w:t>и</w:t>
      </w:r>
      <w:r w:rsidR="00EE372F" w:rsidRPr="00E302FE">
        <w:rPr>
          <w:sz w:val="24"/>
          <w:szCs w:val="24"/>
        </w:rPr>
        <w:t>тельно меньшими размерами бизнеса и ресурсами, и, как следствие, меньшей устойчивостью в случае изменения финансово-экономической или правовой ситуации в стране.</w:t>
      </w:r>
    </w:p>
    <w:p w:rsidR="009E3DAF" w:rsidRDefault="009E3DAF" w:rsidP="00EE372F">
      <w:pPr>
        <w:adjustRightInd w:val="0"/>
        <w:ind w:firstLine="709"/>
        <w:jc w:val="both"/>
        <w:rPr>
          <w:b/>
          <w:bCs/>
          <w:i/>
          <w:sz w:val="24"/>
          <w:szCs w:val="24"/>
        </w:rPr>
      </w:pPr>
    </w:p>
    <w:p w:rsidR="00EE372F" w:rsidRPr="00E302FE" w:rsidRDefault="00EE372F" w:rsidP="00EE372F">
      <w:pPr>
        <w:adjustRightInd w:val="0"/>
        <w:ind w:firstLine="709"/>
        <w:jc w:val="both"/>
        <w:rPr>
          <w:i/>
          <w:sz w:val="24"/>
          <w:szCs w:val="24"/>
        </w:rPr>
      </w:pPr>
      <w:r w:rsidRPr="00E302FE">
        <w:rPr>
          <w:b/>
          <w:bCs/>
          <w:i/>
          <w:sz w:val="24"/>
          <w:szCs w:val="24"/>
        </w:rPr>
        <w:t>Риск инновационного решения</w:t>
      </w:r>
    </w:p>
    <w:p w:rsidR="00EE372F" w:rsidRPr="00E302FE" w:rsidRDefault="00EE372F" w:rsidP="00EE372F">
      <w:pPr>
        <w:adjustRightInd w:val="0"/>
        <w:ind w:firstLine="709"/>
        <w:jc w:val="both"/>
        <w:rPr>
          <w:sz w:val="24"/>
          <w:szCs w:val="24"/>
        </w:rPr>
      </w:pPr>
      <w:r w:rsidRPr="00E302FE">
        <w:rPr>
          <w:sz w:val="24"/>
          <w:szCs w:val="24"/>
        </w:rPr>
        <w:t>Эмитенты Ценных бумаг могут входить в т.ч. в инновационный сектор экономики. Это связано с тем, что такие компании стараются осваивать и внедрять новые методы и те</w:t>
      </w:r>
      <w:r w:rsidRPr="00E302FE">
        <w:rPr>
          <w:sz w:val="24"/>
          <w:szCs w:val="24"/>
        </w:rPr>
        <w:t>х</w:t>
      </w:r>
      <w:r w:rsidRPr="00E302FE">
        <w:rPr>
          <w:sz w:val="24"/>
          <w:szCs w:val="24"/>
        </w:rPr>
        <w:t>нологии ведения бизнеса, призванные способствовать ее росту и увеличению капитализации. Тем не менее, не всегда инновационные решения имеют консервативный уровень риска. Н</w:t>
      </w:r>
      <w:r w:rsidRPr="00E302FE">
        <w:rPr>
          <w:sz w:val="24"/>
          <w:szCs w:val="24"/>
        </w:rPr>
        <w:t>е</w:t>
      </w:r>
      <w:r w:rsidRPr="00E302FE">
        <w:rPr>
          <w:sz w:val="24"/>
          <w:szCs w:val="24"/>
        </w:rPr>
        <w:t>достаточная эффективность такого решения может привести к потере времени и инвестир</w:t>
      </w:r>
      <w:r w:rsidRPr="00E302FE">
        <w:rPr>
          <w:sz w:val="24"/>
          <w:szCs w:val="24"/>
        </w:rPr>
        <w:t>о</w:t>
      </w:r>
      <w:r w:rsidRPr="00E302FE">
        <w:rPr>
          <w:sz w:val="24"/>
          <w:szCs w:val="24"/>
        </w:rPr>
        <w:t>ванных на внедрение данного решения средств, что негативным образом отразится на ф</w:t>
      </w:r>
      <w:r w:rsidRPr="00E302FE">
        <w:rPr>
          <w:sz w:val="24"/>
          <w:szCs w:val="24"/>
        </w:rPr>
        <w:t>и</w:t>
      </w:r>
      <w:r w:rsidRPr="00E302FE">
        <w:rPr>
          <w:sz w:val="24"/>
          <w:szCs w:val="24"/>
        </w:rPr>
        <w:t>нансовом положении компании и стоимости ее акций. Особенностью инновационных ко</w:t>
      </w:r>
      <w:r w:rsidRPr="00E302FE">
        <w:rPr>
          <w:sz w:val="24"/>
          <w:szCs w:val="24"/>
        </w:rPr>
        <w:t>м</w:t>
      </w:r>
      <w:r w:rsidRPr="00E302FE">
        <w:rPr>
          <w:sz w:val="24"/>
          <w:szCs w:val="24"/>
        </w:rPr>
        <w:t>паний является высокая доля нематериальных активов и интеллектуальной собственности в структуре активов компании, что усложняет анализ и прогноз показателей её деятельности.</w:t>
      </w:r>
    </w:p>
    <w:p w:rsidR="009E3DAF" w:rsidRDefault="009E3DAF" w:rsidP="00EE372F">
      <w:pPr>
        <w:adjustRightInd w:val="0"/>
        <w:ind w:firstLine="709"/>
        <w:jc w:val="both"/>
        <w:rPr>
          <w:b/>
          <w:bCs/>
          <w:i/>
          <w:sz w:val="24"/>
          <w:szCs w:val="24"/>
        </w:rPr>
      </w:pPr>
    </w:p>
    <w:p w:rsidR="00EE372F" w:rsidRPr="00E302FE" w:rsidRDefault="00EE372F" w:rsidP="00EE372F">
      <w:pPr>
        <w:adjustRightInd w:val="0"/>
        <w:ind w:firstLine="709"/>
        <w:jc w:val="both"/>
        <w:rPr>
          <w:i/>
          <w:sz w:val="24"/>
          <w:szCs w:val="24"/>
        </w:rPr>
      </w:pPr>
      <w:r w:rsidRPr="00E302FE">
        <w:rPr>
          <w:b/>
          <w:bCs/>
          <w:i/>
          <w:sz w:val="24"/>
          <w:szCs w:val="24"/>
        </w:rPr>
        <w:t>Риск низкой ликвидности</w:t>
      </w:r>
    </w:p>
    <w:p w:rsidR="00EE372F" w:rsidRPr="00E302FE" w:rsidRDefault="00EE372F" w:rsidP="00EE372F">
      <w:pPr>
        <w:adjustRightInd w:val="0"/>
        <w:ind w:firstLine="709"/>
        <w:jc w:val="both"/>
        <w:rPr>
          <w:sz w:val="24"/>
          <w:szCs w:val="24"/>
        </w:rPr>
      </w:pPr>
      <w:r w:rsidRPr="00E302FE">
        <w:rPr>
          <w:sz w:val="24"/>
          <w:szCs w:val="24"/>
        </w:rPr>
        <w:t>Риск ликвидности заключается в изменении оценки ценных бумаг в сторону умен</w:t>
      </w:r>
      <w:r w:rsidRPr="00E302FE">
        <w:rPr>
          <w:sz w:val="24"/>
          <w:szCs w:val="24"/>
        </w:rPr>
        <w:t>ь</w:t>
      </w:r>
      <w:r w:rsidRPr="00E302FE">
        <w:rPr>
          <w:sz w:val="24"/>
          <w:szCs w:val="24"/>
        </w:rPr>
        <w:t>шения, вплоть до потери ликвидности, в результате чего становится невозможным реализ</w:t>
      </w:r>
      <w:r w:rsidRPr="00E302FE">
        <w:rPr>
          <w:sz w:val="24"/>
          <w:szCs w:val="24"/>
        </w:rPr>
        <w:t>о</w:t>
      </w:r>
      <w:r w:rsidRPr="00E302FE">
        <w:rPr>
          <w:sz w:val="24"/>
          <w:szCs w:val="24"/>
        </w:rPr>
        <w:t>вать ценные бумаги в нужное время по желаемой цене. В силу небольшого объема выпуска и низкой ликвидности ценные бумаги могут иметь большой спрэд. Это означает, что даже пр</w:t>
      </w:r>
      <w:r w:rsidRPr="00E302FE">
        <w:rPr>
          <w:sz w:val="24"/>
          <w:szCs w:val="24"/>
        </w:rPr>
        <w:t>а</w:t>
      </w:r>
      <w:r w:rsidRPr="00E302FE">
        <w:rPr>
          <w:sz w:val="24"/>
          <w:szCs w:val="24"/>
        </w:rPr>
        <w:t>вильный прогноз относительно перспектив роста таких активов далеко не всегда позволяет получить прибыль в конкретный момент времени.</w:t>
      </w:r>
    </w:p>
    <w:p w:rsidR="009E3DAF" w:rsidRDefault="009E3DAF" w:rsidP="00EE372F">
      <w:pPr>
        <w:adjustRightInd w:val="0"/>
        <w:ind w:firstLine="709"/>
        <w:jc w:val="both"/>
        <w:rPr>
          <w:b/>
          <w:bCs/>
          <w:i/>
          <w:sz w:val="24"/>
          <w:szCs w:val="24"/>
        </w:rPr>
      </w:pPr>
    </w:p>
    <w:p w:rsidR="00EE372F" w:rsidRPr="00E302FE" w:rsidRDefault="00EE372F" w:rsidP="00EE372F">
      <w:pPr>
        <w:adjustRightInd w:val="0"/>
        <w:ind w:firstLine="709"/>
        <w:jc w:val="both"/>
        <w:rPr>
          <w:i/>
          <w:sz w:val="24"/>
          <w:szCs w:val="24"/>
        </w:rPr>
      </w:pPr>
      <w:r w:rsidRPr="00E302FE">
        <w:rPr>
          <w:b/>
          <w:bCs/>
          <w:i/>
          <w:sz w:val="24"/>
          <w:szCs w:val="24"/>
        </w:rPr>
        <w:t>Риск банкротства эмитента</w:t>
      </w:r>
    </w:p>
    <w:p w:rsidR="00EE372F" w:rsidRPr="00E302FE" w:rsidRDefault="00EE372F" w:rsidP="00EE372F">
      <w:pPr>
        <w:adjustRightInd w:val="0"/>
        <w:ind w:firstLine="709"/>
        <w:jc w:val="both"/>
        <w:rPr>
          <w:sz w:val="24"/>
          <w:szCs w:val="24"/>
        </w:rPr>
      </w:pPr>
      <w:r w:rsidRPr="00E302FE">
        <w:rPr>
          <w:sz w:val="24"/>
          <w:szCs w:val="24"/>
        </w:rPr>
        <w:t>Данный риск заключается в возможности наступления неплатежеспособности комп</w:t>
      </w:r>
      <w:r w:rsidRPr="00E302FE">
        <w:rPr>
          <w:sz w:val="24"/>
          <w:szCs w:val="24"/>
        </w:rPr>
        <w:t>а</w:t>
      </w:r>
      <w:r w:rsidRPr="00E302FE">
        <w:rPr>
          <w:sz w:val="24"/>
          <w:szCs w:val="24"/>
        </w:rPr>
        <w:t>нии, что приведет к резкому падению цены и потере ликвидности ценных бумаг компании или невозможности погасить ценные бумаги (в случае с долговыми ценными бумагами).</w:t>
      </w:r>
    </w:p>
    <w:p w:rsidR="00EE372F" w:rsidRPr="00E302FE" w:rsidRDefault="00EE372F" w:rsidP="00EE372F">
      <w:pPr>
        <w:adjustRightInd w:val="0"/>
        <w:ind w:firstLine="709"/>
        <w:jc w:val="both"/>
        <w:rPr>
          <w:sz w:val="24"/>
          <w:szCs w:val="24"/>
        </w:rPr>
      </w:pPr>
    </w:p>
    <w:p w:rsidR="00EE372F" w:rsidRPr="00E302FE" w:rsidRDefault="009E3DAF" w:rsidP="00EE372F">
      <w:pPr>
        <w:adjustRightInd w:val="0"/>
        <w:ind w:firstLine="709"/>
        <w:jc w:val="both"/>
        <w:rPr>
          <w:b/>
          <w:sz w:val="24"/>
          <w:szCs w:val="24"/>
        </w:rPr>
      </w:pPr>
      <w:r>
        <w:rPr>
          <w:b/>
          <w:sz w:val="24"/>
          <w:szCs w:val="24"/>
        </w:rPr>
        <w:t>Данная д</w:t>
      </w:r>
      <w:r w:rsidR="00EE372F" w:rsidRPr="00E302FE">
        <w:rPr>
          <w:b/>
          <w:sz w:val="24"/>
          <w:szCs w:val="24"/>
        </w:rPr>
        <w:t>екларация не имеет своей целью отказ потенциальных инвесторов от осуществления операций с Ценными бумагами. Декларация призвана помочь понять и оценить риски, связанные с инвестированием в такие Ценные бумаги, способствуя тем самым, принятию взвешенных инвестиционных решений.</w:t>
      </w:r>
    </w:p>
    <w:p w:rsidR="00EE372F" w:rsidRPr="00E302FE" w:rsidRDefault="00EE372F" w:rsidP="00EE372F">
      <w:pPr>
        <w:ind w:firstLine="709"/>
        <w:jc w:val="both"/>
        <w:rPr>
          <w:b/>
          <w:sz w:val="24"/>
          <w:szCs w:val="24"/>
        </w:rPr>
      </w:pPr>
      <w:r w:rsidRPr="00E302FE">
        <w:rPr>
          <w:b/>
          <w:sz w:val="24"/>
          <w:szCs w:val="24"/>
        </w:rPr>
        <w:t>Учитывая вышеизложенное, рекомендуем внимательно рассмотреть вопрос о том, являются ли риски, возникающие при проведении операций с Ценными бумагами, приемлемыми для Вас с учетом Ваших инвестиционных целей и финансовых возмо</w:t>
      </w:r>
      <w:r w:rsidRPr="00E302FE">
        <w:rPr>
          <w:b/>
          <w:sz w:val="24"/>
          <w:szCs w:val="24"/>
        </w:rPr>
        <w:t>ж</w:t>
      </w:r>
      <w:r w:rsidRPr="00E302FE">
        <w:rPr>
          <w:b/>
          <w:sz w:val="24"/>
          <w:szCs w:val="24"/>
        </w:rPr>
        <w:t>ностей.</w:t>
      </w:r>
    </w:p>
    <w:p w:rsidR="00EE372F" w:rsidRPr="00E302FE" w:rsidRDefault="00EE372F" w:rsidP="00EE372F">
      <w:pPr>
        <w:ind w:firstLine="709"/>
        <w:jc w:val="both"/>
        <w:rPr>
          <w:b/>
          <w:sz w:val="24"/>
          <w:szCs w:val="24"/>
        </w:rPr>
      </w:pPr>
    </w:p>
    <w:p w:rsidR="00EE372F" w:rsidRPr="00E302FE" w:rsidRDefault="00EE372F" w:rsidP="00EE372F">
      <w:pPr>
        <w:ind w:firstLine="709"/>
        <w:jc w:val="both"/>
        <w:rPr>
          <w:b/>
          <w:sz w:val="24"/>
          <w:szCs w:val="24"/>
        </w:rPr>
      </w:pPr>
      <w:r w:rsidRPr="00E302FE">
        <w:rPr>
          <w:b/>
          <w:sz w:val="24"/>
          <w:szCs w:val="24"/>
        </w:rPr>
        <w:t>Настоящим информируем о рисках, связанных с приобретением ценных бумаг, включенных ПАО Московская Биржа в Сектор компаний повышенного инвестицио</w:t>
      </w:r>
      <w:r w:rsidRPr="00E302FE">
        <w:rPr>
          <w:b/>
          <w:sz w:val="24"/>
          <w:szCs w:val="24"/>
        </w:rPr>
        <w:t>н</w:t>
      </w:r>
      <w:r w:rsidRPr="00E302FE">
        <w:rPr>
          <w:b/>
          <w:sz w:val="24"/>
          <w:szCs w:val="24"/>
        </w:rPr>
        <w:t>ного риска.</w:t>
      </w:r>
    </w:p>
    <w:p w:rsidR="00EE372F" w:rsidRDefault="00EE372F" w:rsidP="00E302FE">
      <w:pPr>
        <w:ind w:firstLine="709"/>
        <w:jc w:val="both"/>
        <w:rPr>
          <w:sz w:val="24"/>
          <w:szCs w:val="24"/>
        </w:rPr>
      </w:pPr>
    </w:p>
    <w:p w:rsidR="00EE372F" w:rsidRDefault="002F4466" w:rsidP="00EE372F">
      <w:pPr>
        <w:ind w:firstLine="709"/>
        <w:jc w:val="center"/>
        <w:rPr>
          <w:b/>
          <w:sz w:val="24"/>
          <w:szCs w:val="24"/>
        </w:rPr>
      </w:pPr>
      <w:r>
        <w:rPr>
          <w:b/>
          <w:sz w:val="24"/>
          <w:szCs w:val="24"/>
        </w:rPr>
        <w:t>5</w:t>
      </w:r>
      <w:r w:rsidR="00EE372F">
        <w:rPr>
          <w:b/>
          <w:sz w:val="24"/>
          <w:szCs w:val="24"/>
        </w:rPr>
        <w:t xml:space="preserve">. </w:t>
      </w:r>
      <w:r>
        <w:rPr>
          <w:b/>
          <w:sz w:val="24"/>
          <w:szCs w:val="24"/>
        </w:rPr>
        <w:t>РИСКИ,</w:t>
      </w:r>
    </w:p>
    <w:p w:rsidR="002F4466" w:rsidRDefault="00EE372F" w:rsidP="00EE372F">
      <w:pPr>
        <w:ind w:firstLine="709"/>
        <w:jc w:val="center"/>
        <w:rPr>
          <w:b/>
          <w:sz w:val="24"/>
          <w:szCs w:val="24"/>
        </w:rPr>
      </w:pPr>
      <w:r>
        <w:rPr>
          <w:b/>
          <w:sz w:val="24"/>
          <w:szCs w:val="24"/>
        </w:rPr>
        <w:t>СВЯ</w:t>
      </w:r>
      <w:r w:rsidR="002F4466">
        <w:rPr>
          <w:b/>
          <w:sz w:val="24"/>
          <w:szCs w:val="24"/>
        </w:rPr>
        <w:t>ЗАННЫЕ С ЗАКЛЮЧЕНИЕМ ВНЕБИРЖЕВЫХ СДЕЛОК</w:t>
      </w:r>
    </w:p>
    <w:p w:rsidR="002F4466" w:rsidRDefault="002F4466" w:rsidP="00EE372F">
      <w:pPr>
        <w:ind w:firstLine="709"/>
        <w:jc w:val="center"/>
        <w:rPr>
          <w:b/>
          <w:sz w:val="24"/>
          <w:szCs w:val="24"/>
        </w:rPr>
      </w:pPr>
      <w:r>
        <w:rPr>
          <w:b/>
          <w:sz w:val="24"/>
          <w:szCs w:val="24"/>
        </w:rPr>
        <w:t>С ЦЕННЫМИ БУМАГАМИ С ИСПОЛЬЗОВАНИЕМ</w:t>
      </w:r>
    </w:p>
    <w:p w:rsidR="00EE372F" w:rsidRPr="00E302FE" w:rsidRDefault="002F4466" w:rsidP="00EE372F">
      <w:pPr>
        <w:ind w:firstLine="709"/>
        <w:jc w:val="center"/>
        <w:rPr>
          <w:b/>
          <w:sz w:val="24"/>
          <w:szCs w:val="24"/>
        </w:rPr>
      </w:pPr>
      <w:r>
        <w:rPr>
          <w:b/>
          <w:sz w:val="24"/>
          <w:szCs w:val="24"/>
        </w:rPr>
        <w:t>КЛИРИНГОВОЙ СИСТЕМЫ НКО НКЦ (АО)</w:t>
      </w:r>
    </w:p>
    <w:p w:rsidR="002F4466" w:rsidRPr="002F4466" w:rsidRDefault="002F4466" w:rsidP="00EE372F">
      <w:pPr>
        <w:ind w:firstLine="709"/>
        <w:jc w:val="both"/>
        <w:rPr>
          <w:sz w:val="24"/>
          <w:szCs w:val="24"/>
        </w:rPr>
      </w:pPr>
    </w:p>
    <w:p w:rsidR="00EE372F" w:rsidRPr="00E302FE" w:rsidRDefault="002F58F1" w:rsidP="00EE372F">
      <w:pPr>
        <w:ind w:firstLine="709"/>
        <w:jc w:val="both"/>
        <w:rPr>
          <w:b/>
          <w:sz w:val="24"/>
          <w:szCs w:val="24"/>
        </w:rPr>
      </w:pPr>
      <w:r>
        <w:rPr>
          <w:b/>
          <w:sz w:val="24"/>
          <w:szCs w:val="24"/>
        </w:rPr>
        <w:t>С</w:t>
      </w:r>
      <w:r w:rsidR="00EE372F" w:rsidRPr="00E302FE">
        <w:rPr>
          <w:b/>
          <w:sz w:val="24"/>
          <w:szCs w:val="24"/>
        </w:rPr>
        <w:t>читаем необходимым акцентировать Ваше внимание на информации об осно</w:t>
      </w:r>
      <w:r w:rsidR="00EE372F" w:rsidRPr="00E302FE">
        <w:rPr>
          <w:b/>
          <w:sz w:val="24"/>
          <w:szCs w:val="24"/>
        </w:rPr>
        <w:t>в</w:t>
      </w:r>
      <w:r w:rsidR="00EE372F" w:rsidRPr="00E302FE">
        <w:rPr>
          <w:b/>
          <w:sz w:val="24"/>
          <w:szCs w:val="24"/>
        </w:rPr>
        <w:t>ных рисках, связанных с заключением внебиржевых сделок с ценными бумагами с и</w:t>
      </w:r>
      <w:r w:rsidR="00EE372F" w:rsidRPr="00E302FE">
        <w:rPr>
          <w:b/>
          <w:sz w:val="24"/>
          <w:szCs w:val="24"/>
        </w:rPr>
        <w:t>с</w:t>
      </w:r>
      <w:r w:rsidR="00EE372F" w:rsidRPr="00E302FE">
        <w:rPr>
          <w:b/>
          <w:sz w:val="24"/>
          <w:szCs w:val="24"/>
        </w:rPr>
        <w:t>пользованием клиринговой системы НКО НКЦ (АО):</w:t>
      </w:r>
    </w:p>
    <w:p w:rsidR="00EE372F" w:rsidRPr="00E302FE" w:rsidRDefault="00EE372F" w:rsidP="00EE372F">
      <w:pPr>
        <w:ind w:firstLine="709"/>
        <w:jc w:val="both"/>
        <w:rPr>
          <w:sz w:val="24"/>
          <w:szCs w:val="24"/>
        </w:rPr>
      </w:pPr>
      <w:r w:rsidRPr="00E302FE">
        <w:rPr>
          <w:sz w:val="24"/>
          <w:szCs w:val="24"/>
        </w:rPr>
        <w:t>Приводим ссылку на уведомление об общих рисках, связанных с заключением вн</w:t>
      </w:r>
      <w:r w:rsidRPr="00E302FE">
        <w:rPr>
          <w:sz w:val="24"/>
          <w:szCs w:val="24"/>
        </w:rPr>
        <w:t>е</w:t>
      </w:r>
      <w:r w:rsidRPr="00E302FE">
        <w:rPr>
          <w:sz w:val="24"/>
          <w:szCs w:val="24"/>
        </w:rPr>
        <w:t xml:space="preserve">биржевых сделок с ценными бумагами, в отношении которых НКО НКЦ (АО) оказывает </w:t>
      </w:r>
      <w:r w:rsidRPr="00E302FE">
        <w:rPr>
          <w:sz w:val="24"/>
          <w:szCs w:val="24"/>
        </w:rPr>
        <w:lastRenderedPageBreak/>
        <w:t>клиринговые услуги, размещенное на официальном сайте НКО НКЦ (АО) в информационно-телекоммуникационной сети «Интернет»:</w:t>
      </w:r>
    </w:p>
    <w:p w:rsidR="00EE372F" w:rsidRPr="00E302FE" w:rsidRDefault="00EE372F" w:rsidP="00EE372F">
      <w:pPr>
        <w:ind w:firstLine="709"/>
        <w:jc w:val="both"/>
        <w:rPr>
          <w:sz w:val="24"/>
          <w:szCs w:val="24"/>
        </w:rPr>
      </w:pPr>
    </w:p>
    <w:tbl>
      <w:tblPr>
        <w:tblStyle w:val="af9"/>
        <w:tblW w:w="924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283"/>
        <w:gridCol w:w="8966"/>
      </w:tblGrid>
      <w:tr w:rsidR="00EE372F" w:rsidRPr="00E302FE" w:rsidTr="00EE372F">
        <w:tc>
          <w:tcPr>
            <w:tcW w:w="283" w:type="dxa"/>
            <w:vMerge w:val="restart"/>
            <w:vAlign w:val="center"/>
          </w:tcPr>
          <w:p w:rsidR="00EE372F" w:rsidRPr="00E302FE" w:rsidRDefault="00EE372F" w:rsidP="00EE372F">
            <w:pPr>
              <w:jc w:val="both"/>
              <w:rPr>
                <w:sz w:val="24"/>
                <w:szCs w:val="24"/>
              </w:rPr>
            </w:pPr>
            <w:r w:rsidRPr="00E302FE">
              <w:rPr>
                <w:sz w:val="24"/>
                <w:szCs w:val="24"/>
              </w:rPr>
              <w:t>*</w:t>
            </w:r>
          </w:p>
        </w:tc>
        <w:tc>
          <w:tcPr>
            <w:tcW w:w="8966" w:type="dxa"/>
          </w:tcPr>
          <w:p w:rsidR="00EE372F" w:rsidRPr="00E302FE" w:rsidRDefault="00EE372F" w:rsidP="00EE372F">
            <w:pPr>
              <w:jc w:val="both"/>
              <w:rPr>
                <w:sz w:val="24"/>
                <w:szCs w:val="24"/>
              </w:rPr>
            </w:pPr>
            <w:r w:rsidRPr="00E302FE">
              <w:rPr>
                <w:sz w:val="24"/>
                <w:szCs w:val="24"/>
              </w:rPr>
              <w:t xml:space="preserve">Уведомление об общих рисках </w:t>
            </w:r>
            <w:r w:rsidRPr="00E302FE">
              <w:rPr>
                <w:sz w:val="24"/>
                <w:szCs w:val="24"/>
                <w:lang w:val="en-US"/>
              </w:rPr>
              <w:t>OTC</w:t>
            </w:r>
            <w:r w:rsidRPr="00E302FE">
              <w:rPr>
                <w:sz w:val="24"/>
                <w:szCs w:val="24"/>
              </w:rPr>
              <w:t>:</w:t>
            </w:r>
          </w:p>
        </w:tc>
      </w:tr>
      <w:tr w:rsidR="00EE372F" w:rsidRPr="00E302FE" w:rsidTr="00EE372F">
        <w:tc>
          <w:tcPr>
            <w:tcW w:w="283" w:type="dxa"/>
            <w:vMerge/>
            <w:vAlign w:val="center"/>
          </w:tcPr>
          <w:p w:rsidR="00EE372F" w:rsidRPr="00E302FE" w:rsidRDefault="00EE372F" w:rsidP="00EE372F">
            <w:pPr>
              <w:jc w:val="both"/>
              <w:rPr>
                <w:sz w:val="24"/>
                <w:szCs w:val="24"/>
              </w:rPr>
            </w:pPr>
          </w:p>
        </w:tc>
        <w:tc>
          <w:tcPr>
            <w:tcW w:w="8966" w:type="dxa"/>
          </w:tcPr>
          <w:p w:rsidR="00EE372F" w:rsidRPr="00E302FE" w:rsidRDefault="002B7E8D" w:rsidP="00EE372F">
            <w:pPr>
              <w:jc w:val="both"/>
              <w:rPr>
                <w:sz w:val="24"/>
                <w:szCs w:val="24"/>
              </w:rPr>
            </w:pPr>
            <w:hyperlink r:id="rId8" w:history="1">
              <w:r w:rsidR="00EE372F" w:rsidRPr="00E302FE">
                <w:rPr>
                  <w:sz w:val="24"/>
                  <w:szCs w:val="24"/>
                </w:rPr>
                <w:t>https://www.nationalclearingcentre.ru/catalog/021002</w:t>
              </w:r>
            </w:hyperlink>
          </w:p>
        </w:tc>
      </w:tr>
      <w:tr w:rsidR="00EE372F" w:rsidRPr="00E302FE" w:rsidTr="00EE372F">
        <w:trPr>
          <w:trHeight w:val="170"/>
        </w:trPr>
        <w:tc>
          <w:tcPr>
            <w:tcW w:w="283" w:type="dxa"/>
            <w:vAlign w:val="center"/>
          </w:tcPr>
          <w:p w:rsidR="00EE372F" w:rsidRPr="00E302FE" w:rsidRDefault="00EE372F" w:rsidP="00EE372F">
            <w:pPr>
              <w:jc w:val="both"/>
              <w:rPr>
                <w:sz w:val="24"/>
                <w:szCs w:val="24"/>
              </w:rPr>
            </w:pPr>
          </w:p>
        </w:tc>
        <w:tc>
          <w:tcPr>
            <w:tcW w:w="8966" w:type="dxa"/>
          </w:tcPr>
          <w:p w:rsidR="00EE372F" w:rsidRPr="00E302FE" w:rsidRDefault="00EE372F" w:rsidP="00EE372F">
            <w:pPr>
              <w:jc w:val="both"/>
              <w:rPr>
                <w:sz w:val="24"/>
                <w:szCs w:val="24"/>
              </w:rPr>
            </w:pPr>
          </w:p>
        </w:tc>
      </w:tr>
    </w:tbl>
    <w:p w:rsidR="005060B7" w:rsidRPr="005060B7" w:rsidRDefault="005060B7" w:rsidP="005060B7">
      <w:pPr>
        <w:ind w:firstLine="709"/>
        <w:jc w:val="both"/>
        <w:rPr>
          <w:sz w:val="24"/>
          <w:szCs w:val="24"/>
        </w:rPr>
      </w:pPr>
    </w:p>
    <w:p w:rsidR="005060B7" w:rsidRDefault="005060B7" w:rsidP="005060B7">
      <w:pPr>
        <w:ind w:firstLine="709"/>
        <w:jc w:val="center"/>
        <w:rPr>
          <w:b/>
          <w:sz w:val="24"/>
          <w:szCs w:val="24"/>
        </w:rPr>
      </w:pPr>
      <w:r>
        <w:rPr>
          <w:b/>
          <w:sz w:val="24"/>
          <w:szCs w:val="24"/>
        </w:rPr>
        <w:t>6. РИСКИ,</w:t>
      </w:r>
    </w:p>
    <w:p w:rsidR="00B17B76" w:rsidRDefault="005060B7" w:rsidP="005060B7">
      <w:pPr>
        <w:ind w:firstLine="709"/>
        <w:jc w:val="center"/>
        <w:rPr>
          <w:b/>
          <w:sz w:val="24"/>
          <w:szCs w:val="24"/>
        </w:rPr>
      </w:pPr>
      <w:r>
        <w:rPr>
          <w:b/>
          <w:sz w:val="24"/>
          <w:szCs w:val="24"/>
        </w:rPr>
        <w:t>ОБУСЛОВЛЕННЫЕ СОВЕРШЕНИЕМ СДЕЛОК И</w:t>
      </w:r>
    </w:p>
    <w:p w:rsidR="00B17B76" w:rsidRDefault="005060B7" w:rsidP="005060B7">
      <w:pPr>
        <w:ind w:firstLine="709"/>
        <w:jc w:val="center"/>
        <w:rPr>
          <w:b/>
          <w:sz w:val="24"/>
          <w:szCs w:val="24"/>
        </w:rPr>
      </w:pPr>
      <w:r>
        <w:rPr>
          <w:b/>
          <w:sz w:val="24"/>
          <w:szCs w:val="24"/>
        </w:rPr>
        <w:t>ОПЕРАЦИЙ</w:t>
      </w:r>
      <w:r w:rsidR="00B17B76">
        <w:rPr>
          <w:b/>
          <w:sz w:val="24"/>
          <w:szCs w:val="24"/>
        </w:rPr>
        <w:t xml:space="preserve"> </w:t>
      </w:r>
      <w:r>
        <w:rPr>
          <w:b/>
          <w:sz w:val="24"/>
          <w:szCs w:val="24"/>
        </w:rPr>
        <w:t>С</w:t>
      </w:r>
      <w:r w:rsidR="00B17B76">
        <w:rPr>
          <w:b/>
          <w:sz w:val="24"/>
          <w:szCs w:val="24"/>
        </w:rPr>
        <w:t xml:space="preserve"> </w:t>
      </w:r>
      <w:r>
        <w:rPr>
          <w:b/>
          <w:sz w:val="24"/>
          <w:szCs w:val="24"/>
        </w:rPr>
        <w:t>ИНОСТРАННОЙ ВАЛЮТОЙ И</w:t>
      </w:r>
    </w:p>
    <w:p w:rsidR="005060B7" w:rsidRDefault="005060B7" w:rsidP="005060B7">
      <w:pPr>
        <w:ind w:firstLine="709"/>
        <w:jc w:val="center"/>
        <w:rPr>
          <w:b/>
          <w:sz w:val="24"/>
          <w:szCs w:val="24"/>
        </w:rPr>
      </w:pPr>
      <w:r>
        <w:rPr>
          <w:b/>
          <w:sz w:val="24"/>
          <w:szCs w:val="24"/>
        </w:rPr>
        <w:t>ИНОСТРАННЫМИ ЦЕННЫМИ БУМАГАМИ</w:t>
      </w:r>
    </w:p>
    <w:p w:rsidR="00EE372F" w:rsidRPr="005060B7" w:rsidRDefault="00EE372F" w:rsidP="00EE372F">
      <w:pPr>
        <w:ind w:firstLine="709"/>
        <w:jc w:val="both"/>
        <w:rPr>
          <w:sz w:val="24"/>
          <w:szCs w:val="24"/>
        </w:rPr>
      </w:pPr>
    </w:p>
    <w:p w:rsidR="00EE372F" w:rsidRPr="00E302FE" w:rsidRDefault="00EE372F" w:rsidP="00EE372F">
      <w:pPr>
        <w:ind w:firstLine="709"/>
        <w:jc w:val="both"/>
        <w:rPr>
          <w:sz w:val="24"/>
          <w:szCs w:val="24"/>
        </w:rPr>
      </w:pPr>
      <w:r w:rsidRPr="00E302FE">
        <w:rPr>
          <w:sz w:val="24"/>
          <w:szCs w:val="24"/>
        </w:rPr>
        <w:t>Совершение сделок и операций с иностранными ценными бумагами и (или) ин</w:t>
      </w:r>
      <w:r w:rsidRPr="00E302FE">
        <w:rPr>
          <w:sz w:val="24"/>
          <w:szCs w:val="24"/>
        </w:rPr>
        <w:t>о</w:t>
      </w:r>
      <w:r w:rsidRPr="00E302FE">
        <w:rPr>
          <w:sz w:val="24"/>
          <w:szCs w:val="24"/>
        </w:rPr>
        <w:t>странными валютами, зачисление и хранение иностранных валют на брокерском счете с</w:t>
      </w:r>
      <w:r w:rsidRPr="00E302FE">
        <w:rPr>
          <w:sz w:val="24"/>
          <w:szCs w:val="24"/>
        </w:rPr>
        <w:t>о</w:t>
      </w:r>
      <w:r w:rsidRPr="00E302FE">
        <w:rPr>
          <w:sz w:val="24"/>
          <w:szCs w:val="24"/>
        </w:rPr>
        <w:t>пряжено с рисками, ответственность за которые не может быть возложена на Банк, так как они находятся вне контроля со стороны Банка и возможность Банка предвидеть и предотвр</w:t>
      </w:r>
      <w:r w:rsidRPr="00E302FE">
        <w:rPr>
          <w:sz w:val="24"/>
          <w:szCs w:val="24"/>
        </w:rPr>
        <w:t>а</w:t>
      </w:r>
      <w:r w:rsidRPr="00E302FE">
        <w:rPr>
          <w:sz w:val="24"/>
          <w:szCs w:val="24"/>
        </w:rPr>
        <w:t>тить последствия таких рисков ограничена.</w:t>
      </w:r>
    </w:p>
    <w:p w:rsidR="00EE372F" w:rsidRPr="00E302FE" w:rsidRDefault="00EE372F" w:rsidP="00EE372F">
      <w:pPr>
        <w:ind w:firstLine="709"/>
        <w:jc w:val="both"/>
        <w:rPr>
          <w:sz w:val="24"/>
          <w:szCs w:val="24"/>
        </w:rPr>
      </w:pPr>
      <w:r w:rsidRPr="00E302FE">
        <w:rPr>
          <w:sz w:val="24"/>
          <w:szCs w:val="24"/>
        </w:rPr>
        <w:t>В связи с недружественными и противоречащими международному праву действиями некоторых иностранных государств, союзов иностранных государств, международных орг</w:t>
      </w:r>
      <w:r w:rsidRPr="00E302FE">
        <w:rPr>
          <w:sz w:val="24"/>
          <w:szCs w:val="24"/>
        </w:rPr>
        <w:t>а</w:t>
      </w:r>
      <w:r w:rsidRPr="00E302FE">
        <w:rPr>
          <w:sz w:val="24"/>
          <w:szCs w:val="24"/>
        </w:rPr>
        <w:t>низаций, иностранных финансовых организаций, связанных с введением в отношении Ро</w:t>
      </w:r>
      <w:r w:rsidRPr="00E302FE">
        <w:rPr>
          <w:sz w:val="24"/>
          <w:szCs w:val="24"/>
        </w:rPr>
        <w:t>с</w:t>
      </w:r>
      <w:r w:rsidRPr="00E302FE">
        <w:rPr>
          <w:sz w:val="24"/>
          <w:szCs w:val="24"/>
        </w:rPr>
        <w:t>сийской Федерации, российской финансовой системы, российских физических и юридич</w:t>
      </w:r>
      <w:r w:rsidRPr="00E302FE">
        <w:rPr>
          <w:sz w:val="24"/>
          <w:szCs w:val="24"/>
        </w:rPr>
        <w:t>е</w:t>
      </w:r>
      <w:r w:rsidRPr="00E302FE">
        <w:rPr>
          <w:sz w:val="24"/>
          <w:szCs w:val="24"/>
        </w:rPr>
        <w:t>ских лиц, в том числе в отношении организаторов торговли, и (или) клиринговых организ</w:t>
      </w:r>
      <w:r w:rsidRPr="00E302FE">
        <w:rPr>
          <w:sz w:val="24"/>
          <w:szCs w:val="24"/>
        </w:rPr>
        <w:t>а</w:t>
      </w:r>
      <w:r w:rsidRPr="00E302FE">
        <w:rPr>
          <w:sz w:val="24"/>
          <w:szCs w:val="24"/>
        </w:rPr>
        <w:t>ций, и (или) расчетных организаций, и (или) эмитентов ценных бумаг, и (или) иных лиц, о</w:t>
      </w:r>
      <w:r w:rsidRPr="00E302FE">
        <w:rPr>
          <w:sz w:val="24"/>
          <w:szCs w:val="24"/>
        </w:rPr>
        <w:t>г</w:t>
      </w:r>
      <w:r w:rsidRPr="00E302FE">
        <w:rPr>
          <w:sz w:val="24"/>
          <w:szCs w:val="24"/>
        </w:rPr>
        <w:t>раничительных мер (Ограничительные меры), возникают дополнительные риски, связанные с совершением сделок и операций с иностранными ценными бумагами и (или) иностранн</w:t>
      </w:r>
      <w:r w:rsidRPr="00E302FE">
        <w:rPr>
          <w:sz w:val="24"/>
          <w:szCs w:val="24"/>
        </w:rPr>
        <w:t>ы</w:t>
      </w:r>
      <w:r w:rsidRPr="00E302FE">
        <w:rPr>
          <w:sz w:val="24"/>
          <w:szCs w:val="24"/>
        </w:rPr>
        <w:t>ми валютами, зачислением и хранением иностранных валют на брокерском счете.</w:t>
      </w:r>
    </w:p>
    <w:p w:rsidR="00EE372F" w:rsidRPr="00E302FE" w:rsidRDefault="00EE372F" w:rsidP="00EE372F">
      <w:pPr>
        <w:ind w:firstLine="709"/>
        <w:jc w:val="both"/>
        <w:rPr>
          <w:sz w:val="24"/>
          <w:szCs w:val="24"/>
        </w:rPr>
      </w:pPr>
      <w:r w:rsidRPr="00E302FE">
        <w:rPr>
          <w:sz w:val="24"/>
          <w:szCs w:val="24"/>
        </w:rPr>
        <w:t>В частности, в связи с введением Ограничительных мер при проведении операций с иностранными ценными бумагами и (или) иностранной валютой, в том числе в российских торговых системах, необходимо принимать во внимание риск блокировки ценных бумаг / денежных средств в иностранной валюте Клиента; риск увеличения времени перевода д</w:t>
      </w:r>
      <w:r w:rsidRPr="00E302FE">
        <w:rPr>
          <w:sz w:val="24"/>
          <w:szCs w:val="24"/>
        </w:rPr>
        <w:t>е</w:t>
      </w:r>
      <w:r w:rsidRPr="00E302FE">
        <w:rPr>
          <w:sz w:val="24"/>
          <w:szCs w:val="24"/>
        </w:rPr>
        <w:t>нежных средств в иностранной валюте Клиента в клиринговые организации для обеспечения заключения сделок с расчетами в соответствующей валюте, а также возврата из клиринговых организаций денежных средств Клиента в иностранной валюте в связи с прохождением пл</w:t>
      </w:r>
      <w:r w:rsidRPr="00E302FE">
        <w:rPr>
          <w:sz w:val="24"/>
          <w:szCs w:val="24"/>
        </w:rPr>
        <w:t>а</w:t>
      </w:r>
      <w:r w:rsidRPr="00E302FE">
        <w:rPr>
          <w:sz w:val="24"/>
          <w:szCs w:val="24"/>
        </w:rPr>
        <w:t>тежей через счета иностранных банков (организаций); риск приостановки, задержки или о</w:t>
      </w:r>
      <w:r w:rsidRPr="00E302FE">
        <w:rPr>
          <w:sz w:val="24"/>
          <w:szCs w:val="24"/>
        </w:rPr>
        <w:t>т</w:t>
      </w:r>
      <w:r w:rsidRPr="00E302FE">
        <w:rPr>
          <w:sz w:val="24"/>
          <w:szCs w:val="24"/>
        </w:rPr>
        <w:t>каза в проведении операций с иностранной валютой со стороны банков или небанковских кредитных организаций, в том числе банков-нерезидентов, что может повлечь также нево</w:t>
      </w:r>
      <w:r w:rsidRPr="00E302FE">
        <w:rPr>
          <w:sz w:val="24"/>
          <w:szCs w:val="24"/>
        </w:rPr>
        <w:t>з</w:t>
      </w:r>
      <w:r w:rsidRPr="00E302FE">
        <w:rPr>
          <w:sz w:val="24"/>
          <w:szCs w:val="24"/>
        </w:rPr>
        <w:t>можность исполнения обязательств организаторами торговли и (или) клиринговыми орган</w:t>
      </w:r>
      <w:r w:rsidRPr="00E302FE">
        <w:rPr>
          <w:sz w:val="24"/>
          <w:szCs w:val="24"/>
        </w:rPr>
        <w:t>и</w:t>
      </w:r>
      <w:r w:rsidRPr="00E302FE">
        <w:rPr>
          <w:sz w:val="24"/>
          <w:szCs w:val="24"/>
        </w:rPr>
        <w:t>зациями и (или) расчетными организациями и, как следствие, невозможность исполнения Банком обязательств по договору о брокерском обслуживании, в том числе невозможность заключения и (или) исполнения заключенных сделок с иностранной валютой, а также нево</w:t>
      </w:r>
      <w:r w:rsidRPr="00E302FE">
        <w:rPr>
          <w:sz w:val="24"/>
          <w:szCs w:val="24"/>
        </w:rPr>
        <w:t>з</w:t>
      </w:r>
      <w:r w:rsidRPr="00E302FE">
        <w:rPr>
          <w:sz w:val="24"/>
          <w:szCs w:val="24"/>
        </w:rPr>
        <w:t>можность возврата Банком денежных средств в определенной иностранной валюте с броке</w:t>
      </w:r>
      <w:r w:rsidRPr="00E302FE">
        <w:rPr>
          <w:sz w:val="24"/>
          <w:szCs w:val="24"/>
        </w:rPr>
        <w:t>р</w:t>
      </w:r>
      <w:r w:rsidRPr="00E302FE">
        <w:rPr>
          <w:sz w:val="24"/>
          <w:szCs w:val="24"/>
        </w:rPr>
        <w:t>ского счета Клиента.</w:t>
      </w:r>
    </w:p>
    <w:p w:rsidR="00EE372F" w:rsidRPr="00E302FE" w:rsidRDefault="00EE372F" w:rsidP="00EE372F">
      <w:pPr>
        <w:ind w:firstLine="709"/>
        <w:jc w:val="both"/>
        <w:rPr>
          <w:sz w:val="24"/>
          <w:szCs w:val="24"/>
        </w:rPr>
      </w:pPr>
      <w:r w:rsidRPr="00E302FE">
        <w:rPr>
          <w:sz w:val="24"/>
          <w:szCs w:val="24"/>
        </w:rPr>
        <w:t>В случае совершения конверсионных сделок и (или) операций, замены валюты испо</w:t>
      </w:r>
      <w:r w:rsidRPr="00E302FE">
        <w:rPr>
          <w:sz w:val="24"/>
          <w:szCs w:val="24"/>
        </w:rPr>
        <w:t>л</w:t>
      </w:r>
      <w:r w:rsidRPr="00E302FE">
        <w:rPr>
          <w:sz w:val="24"/>
          <w:szCs w:val="24"/>
        </w:rPr>
        <w:t>нения обязательств с принадлежащей Клиенту иностранной валютой, находящейся у Банка, третьими лицами, в том числе контрагентами Банка, кредитными организациями, клиринг</w:t>
      </w:r>
      <w:r w:rsidRPr="00E302FE">
        <w:rPr>
          <w:sz w:val="24"/>
          <w:szCs w:val="24"/>
        </w:rPr>
        <w:t>о</w:t>
      </w:r>
      <w:r w:rsidRPr="00E302FE">
        <w:rPr>
          <w:sz w:val="24"/>
          <w:szCs w:val="24"/>
        </w:rPr>
        <w:t>вой организацией, в которых у Банка открыты счета, иными лицами, а также в случае отсу</w:t>
      </w:r>
      <w:r w:rsidRPr="00E302FE">
        <w:rPr>
          <w:sz w:val="24"/>
          <w:szCs w:val="24"/>
        </w:rPr>
        <w:t>т</w:t>
      </w:r>
      <w:r w:rsidRPr="00E302FE">
        <w:rPr>
          <w:sz w:val="24"/>
          <w:szCs w:val="24"/>
        </w:rPr>
        <w:t>ствия возможности исполнения Банком обязательств перед Клиентом в рамках заключенного договора в валюте Клиент предоставляет Банку право принять решение о проведении ко</w:t>
      </w:r>
      <w:r w:rsidRPr="00E302FE">
        <w:rPr>
          <w:sz w:val="24"/>
          <w:szCs w:val="24"/>
        </w:rPr>
        <w:t>н</w:t>
      </w:r>
      <w:r w:rsidRPr="00E302FE">
        <w:rPr>
          <w:sz w:val="24"/>
          <w:szCs w:val="24"/>
        </w:rPr>
        <w:t>вертации или замене валюты исполнения. Курс конвертации / замены валюты исполнения принимается равным курсу, по которому соответствующим третьим лицом совершены ук</w:t>
      </w:r>
      <w:r w:rsidRPr="00E302FE">
        <w:rPr>
          <w:sz w:val="24"/>
          <w:szCs w:val="24"/>
        </w:rPr>
        <w:t>а</w:t>
      </w:r>
      <w:r w:rsidRPr="00E302FE">
        <w:rPr>
          <w:sz w:val="24"/>
          <w:szCs w:val="24"/>
        </w:rPr>
        <w:t>занные сделки и (или) операции и (или) осуществлена замена валюты исполнения обяз</w:t>
      </w:r>
      <w:r w:rsidRPr="00E302FE">
        <w:rPr>
          <w:sz w:val="24"/>
          <w:szCs w:val="24"/>
        </w:rPr>
        <w:t>а</w:t>
      </w:r>
      <w:r w:rsidRPr="00E302FE">
        <w:rPr>
          <w:sz w:val="24"/>
          <w:szCs w:val="24"/>
        </w:rPr>
        <w:t>тельств.</w:t>
      </w:r>
    </w:p>
    <w:p w:rsidR="00EE372F" w:rsidRPr="00E302FE" w:rsidRDefault="00EE372F" w:rsidP="00EE372F">
      <w:pPr>
        <w:ind w:firstLine="709"/>
        <w:jc w:val="both"/>
        <w:rPr>
          <w:sz w:val="24"/>
          <w:szCs w:val="24"/>
        </w:rPr>
      </w:pPr>
      <w:r w:rsidRPr="00E302FE">
        <w:rPr>
          <w:sz w:val="24"/>
          <w:szCs w:val="24"/>
        </w:rPr>
        <w:t>В результате у Клиента может возникнуть убыток.</w:t>
      </w:r>
    </w:p>
    <w:p w:rsidR="00EE372F" w:rsidRPr="00E302FE" w:rsidRDefault="00EE372F" w:rsidP="00EE372F">
      <w:pPr>
        <w:ind w:firstLine="709"/>
        <w:jc w:val="both"/>
        <w:rPr>
          <w:sz w:val="24"/>
          <w:szCs w:val="24"/>
        </w:rPr>
      </w:pPr>
      <w:r w:rsidRPr="00E302FE">
        <w:rPr>
          <w:sz w:val="24"/>
          <w:szCs w:val="24"/>
        </w:rPr>
        <w:lastRenderedPageBreak/>
        <w:t>Банк не несет ответственности за убытки, в том числе упущенную выгоду, понесе</w:t>
      </w:r>
      <w:r w:rsidRPr="00E302FE">
        <w:rPr>
          <w:sz w:val="24"/>
          <w:szCs w:val="24"/>
        </w:rPr>
        <w:t>н</w:t>
      </w:r>
      <w:r w:rsidRPr="00E302FE">
        <w:rPr>
          <w:sz w:val="24"/>
          <w:szCs w:val="24"/>
        </w:rPr>
        <w:t>ные расходы, иные правовые последствия, понесенные Клиентом в результате действий о</w:t>
      </w:r>
      <w:r w:rsidRPr="00E302FE">
        <w:rPr>
          <w:sz w:val="24"/>
          <w:szCs w:val="24"/>
        </w:rPr>
        <w:t>р</w:t>
      </w:r>
      <w:r w:rsidRPr="00E302FE">
        <w:rPr>
          <w:sz w:val="24"/>
          <w:szCs w:val="24"/>
        </w:rPr>
        <w:t>ганизаторов торговли и (или) клиринговых организаций и (или) расчетных организаций, а также в результате реализации Банком прав, возникших в связи с принятием указанными выше организациями мер, направленных на урегулирование чрезвычайной ситуации.</w:t>
      </w:r>
    </w:p>
    <w:p w:rsidR="00EE372F" w:rsidRPr="00E302FE" w:rsidRDefault="00EE372F" w:rsidP="00EE372F">
      <w:pPr>
        <w:ind w:firstLine="709"/>
        <w:jc w:val="both"/>
        <w:rPr>
          <w:sz w:val="24"/>
          <w:szCs w:val="24"/>
        </w:rPr>
      </w:pPr>
      <w:r w:rsidRPr="00E302FE">
        <w:rPr>
          <w:sz w:val="24"/>
          <w:szCs w:val="24"/>
        </w:rPr>
        <w:t>Клиент полностью осознает и принимает на себя повышенные риски возникновения негативных последствий для Клиента при совершении сделок с иностранными ценными б</w:t>
      </w:r>
      <w:r w:rsidRPr="00E302FE">
        <w:rPr>
          <w:sz w:val="24"/>
          <w:szCs w:val="24"/>
        </w:rPr>
        <w:t>у</w:t>
      </w:r>
      <w:r w:rsidRPr="00E302FE">
        <w:rPr>
          <w:sz w:val="24"/>
          <w:szCs w:val="24"/>
        </w:rPr>
        <w:t>магами и (или) иностранной валютой и хранении иностранной валюты в текущей политич</w:t>
      </w:r>
      <w:r w:rsidRPr="00E302FE">
        <w:rPr>
          <w:sz w:val="24"/>
          <w:szCs w:val="24"/>
        </w:rPr>
        <w:t>е</w:t>
      </w:r>
      <w:r w:rsidRPr="00E302FE">
        <w:rPr>
          <w:sz w:val="24"/>
          <w:szCs w:val="24"/>
        </w:rPr>
        <w:t>ской и экономической ситуации в мире и с учетом риска введения Ограничительных мер.</w:t>
      </w:r>
    </w:p>
    <w:p w:rsidR="00EE372F" w:rsidRPr="00E302FE" w:rsidRDefault="00EE372F" w:rsidP="00EE372F">
      <w:pPr>
        <w:ind w:firstLine="709"/>
        <w:jc w:val="both"/>
        <w:rPr>
          <w:sz w:val="24"/>
          <w:szCs w:val="24"/>
        </w:rPr>
      </w:pPr>
    </w:p>
    <w:p w:rsidR="00E302FE" w:rsidRPr="00E302FE" w:rsidRDefault="00E302FE" w:rsidP="001C30BE">
      <w:pPr>
        <w:ind w:firstLine="709"/>
        <w:jc w:val="center"/>
        <w:rPr>
          <w:b/>
          <w:sz w:val="24"/>
          <w:szCs w:val="24"/>
        </w:rPr>
      </w:pPr>
      <w:r w:rsidRPr="00E302FE">
        <w:rPr>
          <w:b/>
          <w:sz w:val="24"/>
          <w:szCs w:val="24"/>
        </w:rPr>
        <w:t>7. ДЕКЛАРАЦИЯ О РИСКАХ,</w:t>
      </w:r>
    </w:p>
    <w:p w:rsidR="00E302FE" w:rsidRPr="00E302FE" w:rsidRDefault="00E302FE" w:rsidP="001C30BE">
      <w:pPr>
        <w:ind w:firstLine="709"/>
        <w:jc w:val="center"/>
        <w:rPr>
          <w:b/>
          <w:sz w:val="24"/>
          <w:szCs w:val="24"/>
        </w:rPr>
      </w:pPr>
      <w:r w:rsidRPr="00E302FE">
        <w:rPr>
          <w:b/>
          <w:sz w:val="24"/>
          <w:szCs w:val="24"/>
        </w:rPr>
        <w:t>СВЯЗАННЫХ С ИНВЕСТИЦИОННЫМ КОНСУЛЬТИРОВАНИЕМ</w:t>
      </w:r>
    </w:p>
    <w:p w:rsidR="001C30BE" w:rsidRDefault="00E302FE" w:rsidP="001C30BE">
      <w:pPr>
        <w:ind w:firstLine="709"/>
        <w:jc w:val="center"/>
        <w:rPr>
          <w:b/>
          <w:sz w:val="24"/>
          <w:szCs w:val="24"/>
        </w:rPr>
      </w:pPr>
      <w:r w:rsidRPr="00E302FE">
        <w:rPr>
          <w:b/>
          <w:sz w:val="24"/>
          <w:szCs w:val="24"/>
        </w:rPr>
        <w:t>(ИСПОЛНЕНИЕМ ДОГОВОРА ОБ ИН</w:t>
      </w:r>
      <w:r w:rsidR="001C30BE">
        <w:rPr>
          <w:b/>
          <w:sz w:val="24"/>
          <w:szCs w:val="24"/>
        </w:rPr>
        <w:t>ВЕСТИЦИОННОМ</w:t>
      </w:r>
    </w:p>
    <w:p w:rsidR="009E3B37" w:rsidRDefault="001C30BE" w:rsidP="001C30BE">
      <w:pPr>
        <w:ind w:firstLine="709"/>
        <w:jc w:val="center"/>
        <w:rPr>
          <w:b/>
          <w:sz w:val="24"/>
          <w:szCs w:val="24"/>
        </w:rPr>
      </w:pPr>
      <w:r>
        <w:rPr>
          <w:b/>
          <w:sz w:val="24"/>
          <w:szCs w:val="24"/>
        </w:rPr>
        <w:t xml:space="preserve">КОНСУЛЬТИРОВАНИИ) И </w:t>
      </w:r>
      <w:r w:rsidR="00E302FE" w:rsidRPr="00E302FE">
        <w:rPr>
          <w:b/>
          <w:sz w:val="24"/>
          <w:szCs w:val="24"/>
        </w:rPr>
        <w:t>ИСПОЛНЕНИЕМ ИНДИВИДУАЛЬНЫХ</w:t>
      </w:r>
    </w:p>
    <w:p w:rsidR="00E302FE" w:rsidRPr="00E302FE" w:rsidRDefault="00E302FE" w:rsidP="001C30BE">
      <w:pPr>
        <w:ind w:firstLine="709"/>
        <w:jc w:val="center"/>
        <w:rPr>
          <w:b/>
          <w:sz w:val="24"/>
          <w:szCs w:val="24"/>
        </w:rPr>
      </w:pPr>
      <w:r w:rsidRPr="00E302FE">
        <w:rPr>
          <w:b/>
          <w:sz w:val="24"/>
          <w:szCs w:val="24"/>
        </w:rPr>
        <w:t>ИНВЕСТИЦИОННЫХ РЕКОМЕНДАЦИЙ</w:t>
      </w:r>
    </w:p>
    <w:p w:rsidR="00E302FE" w:rsidRPr="00E302FE" w:rsidRDefault="00E302FE" w:rsidP="001C30BE">
      <w:pPr>
        <w:ind w:firstLine="709"/>
        <w:jc w:val="center"/>
        <w:rPr>
          <w:b/>
          <w:sz w:val="24"/>
          <w:szCs w:val="24"/>
        </w:rPr>
      </w:pPr>
    </w:p>
    <w:p w:rsidR="00E302FE" w:rsidRPr="00E302FE" w:rsidRDefault="009E3B37" w:rsidP="00E302FE">
      <w:pPr>
        <w:ind w:firstLine="709"/>
        <w:jc w:val="both"/>
        <w:rPr>
          <w:b/>
          <w:sz w:val="24"/>
          <w:szCs w:val="24"/>
        </w:rPr>
      </w:pPr>
      <w:r>
        <w:rPr>
          <w:b/>
          <w:sz w:val="24"/>
          <w:szCs w:val="24"/>
        </w:rPr>
        <w:t>Целью настоящей д</w:t>
      </w:r>
      <w:r w:rsidR="00E302FE" w:rsidRPr="00E302FE">
        <w:rPr>
          <w:b/>
          <w:sz w:val="24"/>
          <w:szCs w:val="24"/>
        </w:rPr>
        <w:t>екларации является предоставление Клиенту информации об основных рисках, связанных с инвестиционным консультированием и использованием индивидуальных инвестиционных рекомендаций при осуществлении операций на ф</w:t>
      </w:r>
      <w:r w:rsidR="00E302FE" w:rsidRPr="00E302FE">
        <w:rPr>
          <w:b/>
          <w:sz w:val="24"/>
          <w:szCs w:val="24"/>
        </w:rPr>
        <w:t>и</w:t>
      </w:r>
      <w:r w:rsidR="00E302FE" w:rsidRPr="00E302FE">
        <w:rPr>
          <w:b/>
          <w:sz w:val="24"/>
          <w:szCs w:val="24"/>
        </w:rPr>
        <w:t>нансовых рынках, в том числе о возможности возникновения убытков в результате принятия Клиентом решений об осуществлении или отказе от осуществления операций с ценными бумагами и производными финансовыми инструментами на основании и</w:t>
      </w:r>
      <w:r w:rsidR="00E302FE" w:rsidRPr="00E302FE">
        <w:rPr>
          <w:b/>
          <w:sz w:val="24"/>
          <w:szCs w:val="24"/>
        </w:rPr>
        <w:t>н</w:t>
      </w:r>
      <w:r w:rsidR="00E302FE" w:rsidRPr="00E302FE">
        <w:rPr>
          <w:b/>
          <w:sz w:val="24"/>
          <w:szCs w:val="24"/>
        </w:rPr>
        <w:t>дивидуальных инвестиционных рекомендаций, предоставленных Клиенту Банком.</w:t>
      </w:r>
    </w:p>
    <w:p w:rsidR="009E3B37" w:rsidRDefault="009E3B37"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Информационный риск</w:t>
      </w:r>
    </w:p>
    <w:p w:rsidR="00E302FE" w:rsidRPr="00E302FE" w:rsidRDefault="00E302FE" w:rsidP="00E302FE">
      <w:pPr>
        <w:ind w:firstLine="709"/>
        <w:jc w:val="both"/>
        <w:rPr>
          <w:sz w:val="24"/>
          <w:szCs w:val="24"/>
        </w:rPr>
      </w:pPr>
      <w:r w:rsidRPr="00E302FE">
        <w:rPr>
          <w:sz w:val="24"/>
          <w:szCs w:val="24"/>
        </w:rPr>
        <w:t>При подготовке индивидуальной инвестиционной рекомендации Банк использует о</w:t>
      </w:r>
      <w:r w:rsidRPr="00E302FE">
        <w:rPr>
          <w:sz w:val="24"/>
          <w:szCs w:val="24"/>
        </w:rPr>
        <w:t>б</w:t>
      </w:r>
      <w:r w:rsidRPr="00E302FE">
        <w:rPr>
          <w:sz w:val="24"/>
          <w:szCs w:val="24"/>
        </w:rPr>
        <w:t>щедоступную информацию (публичную, полученную в том числе из информационных си</w:t>
      </w:r>
      <w:r w:rsidRPr="00E302FE">
        <w:rPr>
          <w:sz w:val="24"/>
          <w:szCs w:val="24"/>
        </w:rPr>
        <w:t>с</w:t>
      </w:r>
      <w:r w:rsidRPr="00E302FE">
        <w:rPr>
          <w:sz w:val="24"/>
          <w:szCs w:val="24"/>
        </w:rPr>
        <w:t>тем и агентств, официальных источников), также информацию, полученную Банком от третьих лиц, с которыми Банк может заключать договоры для получения аналитических м</w:t>
      </w:r>
      <w:r w:rsidRPr="00E302FE">
        <w:rPr>
          <w:sz w:val="24"/>
          <w:szCs w:val="24"/>
        </w:rPr>
        <w:t>а</w:t>
      </w:r>
      <w:r w:rsidRPr="00E302FE">
        <w:rPr>
          <w:sz w:val="24"/>
          <w:szCs w:val="24"/>
        </w:rPr>
        <w:t>териалов и обзоров, и формирования на их основе индивидуальных инвестиционных рек</w:t>
      </w:r>
      <w:r w:rsidRPr="00E302FE">
        <w:rPr>
          <w:sz w:val="24"/>
          <w:szCs w:val="24"/>
        </w:rPr>
        <w:t>о</w:t>
      </w:r>
      <w:r w:rsidRPr="00E302FE">
        <w:rPr>
          <w:sz w:val="24"/>
          <w:szCs w:val="24"/>
        </w:rPr>
        <w:t>мендаций. За точность, полноту и достоверность указанной информации несут ответстве</w:t>
      </w:r>
      <w:r w:rsidRPr="00E302FE">
        <w:rPr>
          <w:sz w:val="24"/>
          <w:szCs w:val="24"/>
        </w:rPr>
        <w:t>н</w:t>
      </w:r>
      <w:r w:rsidRPr="00E302FE">
        <w:rPr>
          <w:sz w:val="24"/>
          <w:szCs w:val="24"/>
        </w:rPr>
        <w:t>ность третьи лица, в связи с чем представляется невозможным исключить вероятность нал</w:t>
      </w:r>
      <w:r w:rsidRPr="00E302FE">
        <w:rPr>
          <w:sz w:val="24"/>
          <w:szCs w:val="24"/>
        </w:rPr>
        <w:t>и</w:t>
      </w:r>
      <w:r w:rsidRPr="00E302FE">
        <w:rPr>
          <w:sz w:val="24"/>
          <w:szCs w:val="24"/>
        </w:rPr>
        <w:t>чия ошибок и (или) неточностей в указанной информации. Банк не предоставляет никаких гарантий и заверений в том, что такая информация является точной, полной и достоверной, и, соответственно, на нее не следует полагаться как на точную, полную и достоверную и</w:t>
      </w:r>
      <w:r w:rsidRPr="00E302FE">
        <w:rPr>
          <w:sz w:val="24"/>
          <w:szCs w:val="24"/>
        </w:rPr>
        <w:t>н</w:t>
      </w:r>
      <w:r w:rsidRPr="00E302FE">
        <w:rPr>
          <w:sz w:val="24"/>
          <w:szCs w:val="24"/>
        </w:rPr>
        <w:t>формацию.</w:t>
      </w:r>
    </w:p>
    <w:p w:rsidR="00E302FE" w:rsidRPr="00E302FE" w:rsidRDefault="00E302FE" w:rsidP="00E302FE">
      <w:pPr>
        <w:ind w:firstLine="709"/>
        <w:jc w:val="both"/>
        <w:rPr>
          <w:sz w:val="24"/>
          <w:szCs w:val="24"/>
        </w:rPr>
      </w:pPr>
      <w:r w:rsidRPr="00E302FE">
        <w:rPr>
          <w:sz w:val="24"/>
          <w:szCs w:val="24"/>
        </w:rPr>
        <w:t>Банк не берет на себя обязательств по обновлению и (или) корректированию инфо</w:t>
      </w:r>
      <w:r w:rsidRPr="00E302FE">
        <w:rPr>
          <w:sz w:val="24"/>
          <w:szCs w:val="24"/>
        </w:rPr>
        <w:t>р</w:t>
      </w:r>
      <w:r w:rsidRPr="00E302FE">
        <w:rPr>
          <w:sz w:val="24"/>
          <w:szCs w:val="24"/>
        </w:rPr>
        <w:t>мации, содержащейся в индивидуальной инвестиционной рекомендации, в том числе в связи с утратой актуальности указанной в индивидуальной инвестиционной рекомендации инфо</w:t>
      </w:r>
      <w:r w:rsidRPr="00E302FE">
        <w:rPr>
          <w:sz w:val="24"/>
          <w:szCs w:val="24"/>
        </w:rPr>
        <w:t>р</w:t>
      </w:r>
      <w:r w:rsidRPr="00E302FE">
        <w:rPr>
          <w:sz w:val="24"/>
          <w:szCs w:val="24"/>
        </w:rPr>
        <w:t>мации. Информация, приведенная в индивидуальной инвестиционной рекомендации, акт</w:t>
      </w:r>
      <w:r w:rsidRPr="00E302FE">
        <w:rPr>
          <w:sz w:val="24"/>
          <w:szCs w:val="24"/>
        </w:rPr>
        <w:t>у</w:t>
      </w:r>
      <w:r w:rsidRPr="00E302FE">
        <w:rPr>
          <w:sz w:val="24"/>
          <w:szCs w:val="24"/>
        </w:rPr>
        <w:t>альна исключительно по состоянию на дату предоставления Клиенту индивидуальной инв</w:t>
      </w:r>
      <w:r w:rsidRPr="00E302FE">
        <w:rPr>
          <w:sz w:val="24"/>
          <w:szCs w:val="24"/>
        </w:rPr>
        <w:t>е</w:t>
      </w:r>
      <w:r w:rsidRPr="00E302FE">
        <w:rPr>
          <w:sz w:val="24"/>
          <w:szCs w:val="24"/>
        </w:rPr>
        <w:t>стиционной рекомендации.</w:t>
      </w:r>
    </w:p>
    <w:p w:rsidR="00E302FE" w:rsidRPr="00E302FE" w:rsidRDefault="00E302FE" w:rsidP="00E302FE">
      <w:pPr>
        <w:ind w:firstLine="709"/>
        <w:jc w:val="both"/>
        <w:rPr>
          <w:sz w:val="24"/>
          <w:szCs w:val="24"/>
        </w:rPr>
      </w:pPr>
      <w:r w:rsidRPr="00E302FE">
        <w:rPr>
          <w:sz w:val="24"/>
          <w:szCs w:val="24"/>
        </w:rPr>
        <w:t>На основании вышеуказанного, несмотря на всю тщательность подготовки индивид</w:t>
      </w:r>
      <w:r w:rsidRPr="00E302FE">
        <w:rPr>
          <w:sz w:val="24"/>
          <w:szCs w:val="24"/>
        </w:rPr>
        <w:t>у</w:t>
      </w:r>
      <w:r w:rsidRPr="00E302FE">
        <w:rPr>
          <w:sz w:val="24"/>
          <w:szCs w:val="24"/>
        </w:rPr>
        <w:t>альных инвестиционных рекомендаций, Банк не гарантирует точность прогноза изменения стоимости ценных бумаг, перспектив изменения финансовых показателей эмитента ценных бумаг, сценариев развития отрасли эмитента ценных бумаг, основанных на указанной и</w:t>
      </w:r>
      <w:r w:rsidRPr="00E302FE">
        <w:rPr>
          <w:sz w:val="24"/>
          <w:szCs w:val="24"/>
        </w:rPr>
        <w:t>н</w:t>
      </w:r>
      <w:r w:rsidRPr="00E302FE">
        <w:rPr>
          <w:sz w:val="24"/>
          <w:szCs w:val="24"/>
        </w:rPr>
        <w:t>формации, по причинам, независящим от Банка.</w:t>
      </w:r>
    </w:p>
    <w:p w:rsidR="00E302FE" w:rsidRPr="00E302FE" w:rsidRDefault="00E302FE" w:rsidP="00E302FE">
      <w:pPr>
        <w:ind w:firstLine="709"/>
        <w:jc w:val="both"/>
        <w:rPr>
          <w:sz w:val="24"/>
          <w:szCs w:val="24"/>
        </w:rPr>
      </w:pPr>
      <w:r w:rsidRPr="00E302FE">
        <w:rPr>
          <w:sz w:val="24"/>
          <w:szCs w:val="24"/>
        </w:rPr>
        <w:t>Предоставление индивидуальной инвестиционной рекомендации осуществляется Банком с учетом определенного инвестиционного профиля Клиента и агрегированной и</w:t>
      </w:r>
      <w:r w:rsidRPr="00E302FE">
        <w:rPr>
          <w:sz w:val="24"/>
          <w:szCs w:val="24"/>
        </w:rPr>
        <w:t>н</w:t>
      </w:r>
      <w:r w:rsidRPr="00E302FE">
        <w:rPr>
          <w:sz w:val="24"/>
          <w:szCs w:val="24"/>
        </w:rPr>
        <w:t>формации об инвестиционном горизонте, ожидаемой доходности, допустимом риске, а также об инвестиционных целях Клиента, которая содержится в справке об инвестиционном пр</w:t>
      </w:r>
      <w:r w:rsidRPr="00E302FE">
        <w:rPr>
          <w:sz w:val="24"/>
          <w:szCs w:val="24"/>
        </w:rPr>
        <w:t>о</w:t>
      </w:r>
      <w:r w:rsidRPr="00E302FE">
        <w:rPr>
          <w:sz w:val="24"/>
          <w:szCs w:val="24"/>
        </w:rPr>
        <w:t>филе Клиента. Указанная информация о Клиенте (характеристики) не является статичной, в связи с чем она может меняться с течением времени, вследствие чего Клиент обязан сво</w:t>
      </w:r>
      <w:r w:rsidRPr="00E302FE">
        <w:rPr>
          <w:sz w:val="24"/>
          <w:szCs w:val="24"/>
        </w:rPr>
        <w:t>е</w:t>
      </w:r>
      <w:r w:rsidRPr="00E302FE">
        <w:rPr>
          <w:sz w:val="24"/>
          <w:szCs w:val="24"/>
        </w:rPr>
        <w:lastRenderedPageBreak/>
        <w:t>временно проинформировать Банк об изменении обстоятельств и информации, предоста</w:t>
      </w:r>
      <w:r w:rsidRPr="00E302FE">
        <w:rPr>
          <w:sz w:val="24"/>
          <w:szCs w:val="24"/>
        </w:rPr>
        <w:t>в</w:t>
      </w:r>
      <w:r w:rsidRPr="00E302FE">
        <w:rPr>
          <w:sz w:val="24"/>
          <w:szCs w:val="24"/>
        </w:rPr>
        <w:t>ленной ранее для определения инвестиционного профиля. Клиент несет риск, связанный с предоставлением Клиенту индивидуальной инвестиционной рекомендации, предоставленной исходя из информации об инвестиционном профиле Клиента, которая не является актуал</w:t>
      </w:r>
      <w:r w:rsidRPr="00E302FE">
        <w:rPr>
          <w:sz w:val="24"/>
          <w:szCs w:val="24"/>
        </w:rPr>
        <w:t>ь</w:t>
      </w:r>
      <w:r w:rsidRPr="00E302FE">
        <w:rPr>
          <w:sz w:val="24"/>
          <w:szCs w:val="24"/>
        </w:rPr>
        <w:t>ной.</w:t>
      </w:r>
    </w:p>
    <w:p w:rsidR="00E302FE" w:rsidRPr="00E302FE" w:rsidRDefault="00E302FE" w:rsidP="00E302FE">
      <w:pPr>
        <w:ind w:firstLine="709"/>
        <w:jc w:val="both"/>
        <w:rPr>
          <w:sz w:val="24"/>
          <w:szCs w:val="24"/>
        </w:rPr>
      </w:pPr>
      <w:r w:rsidRPr="00E302FE">
        <w:rPr>
          <w:sz w:val="24"/>
          <w:szCs w:val="24"/>
        </w:rPr>
        <w:t>Банк не проверяет достоверность информации, представленной Клиентом для опред</w:t>
      </w:r>
      <w:r w:rsidRPr="00E302FE">
        <w:rPr>
          <w:sz w:val="24"/>
          <w:szCs w:val="24"/>
        </w:rPr>
        <w:t>е</w:t>
      </w:r>
      <w:r w:rsidRPr="00E302FE">
        <w:rPr>
          <w:sz w:val="24"/>
          <w:szCs w:val="24"/>
        </w:rPr>
        <w:t>ления его инвестиционного профиля, таким образом риск недостоверной информации, пр</w:t>
      </w:r>
      <w:r w:rsidRPr="00E302FE">
        <w:rPr>
          <w:sz w:val="24"/>
          <w:szCs w:val="24"/>
        </w:rPr>
        <w:t>е</w:t>
      </w:r>
      <w:r w:rsidRPr="00E302FE">
        <w:rPr>
          <w:sz w:val="24"/>
          <w:szCs w:val="24"/>
        </w:rPr>
        <w:t>доставленной при определении инвестиционного профиля, лежит на Клиенте. Риск предо</w:t>
      </w:r>
      <w:r w:rsidRPr="00E302FE">
        <w:rPr>
          <w:sz w:val="24"/>
          <w:szCs w:val="24"/>
        </w:rPr>
        <w:t>с</w:t>
      </w:r>
      <w:r w:rsidRPr="00E302FE">
        <w:rPr>
          <w:sz w:val="24"/>
          <w:szCs w:val="24"/>
        </w:rPr>
        <w:t>тавления недостоверной информации для определения инвестиционного профиля заключ</w:t>
      </w:r>
      <w:r w:rsidRPr="00E302FE">
        <w:rPr>
          <w:sz w:val="24"/>
          <w:szCs w:val="24"/>
        </w:rPr>
        <w:t>а</w:t>
      </w:r>
      <w:r w:rsidRPr="00E302FE">
        <w:rPr>
          <w:sz w:val="24"/>
          <w:szCs w:val="24"/>
        </w:rPr>
        <w:t>ется в лишении Банка возможности определить корректный инвестиционный профиль и в вероятности определения инвестиционного профиля, не соответствующего инвестиционным целям (ожиданиям) Клиента и риску, который Клиент способен нести, что в свою очередь может привести к несоответствию совершаемых операций на рынке ценных бумаг интересам и ожиданиям Клиента.</w:t>
      </w:r>
    </w:p>
    <w:p w:rsidR="00E302FE" w:rsidRPr="00E302FE" w:rsidRDefault="00E302FE" w:rsidP="00E302FE">
      <w:pPr>
        <w:ind w:firstLine="709"/>
        <w:jc w:val="both"/>
        <w:rPr>
          <w:sz w:val="24"/>
          <w:szCs w:val="24"/>
        </w:rPr>
      </w:pPr>
      <w:r w:rsidRPr="00E302FE">
        <w:rPr>
          <w:sz w:val="24"/>
          <w:szCs w:val="24"/>
        </w:rPr>
        <w:t>Информация, представленная в индивидуальной инвестиционной рекомендации, не может рассматриваться Клиентом как гарантия доходности операций с финансовыми инс</w:t>
      </w:r>
      <w:r w:rsidRPr="00E302FE">
        <w:rPr>
          <w:sz w:val="24"/>
          <w:szCs w:val="24"/>
        </w:rPr>
        <w:t>т</w:t>
      </w:r>
      <w:r w:rsidRPr="00E302FE">
        <w:rPr>
          <w:sz w:val="24"/>
          <w:szCs w:val="24"/>
        </w:rPr>
        <w:t>рументами. Предоставленная информация о доходности является актуальной по состоянию на дату предоставления индивидуальной инвестиционной рекомендации. Доходность за п</w:t>
      </w:r>
      <w:r w:rsidRPr="00E302FE">
        <w:rPr>
          <w:sz w:val="24"/>
          <w:szCs w:val="24"/>
        </w:rPr>
        <w:t>е</w:t>
      </w:r>
      <w:r w:rsidRPr="00E302FE">
        <w:rPr>
          <w:sz w:val="24"/>
          <w:szCs w:val="24"/>
        </w:rPr>
        <w:t>риод, указанный в индивидуальной инвестиционной рекомендации, не гарантирует доходн</w:t>
      </w:r>
      <w:r w:rsidRPr="00E302FE">
        <w:rPr>
          <w:sz w:val="24"/>
          <w:szCs w:val="24"/>
        </w:rPr>
        <w:t>о</w:t>
      </w:r>
      <w:r w:rsidRPr="00E302FE">
        <w:rPr>
          <w:sz w:val="24"/>
          <w:szCs w:val="24"/>
        </w:rPr>
        <w:t>сти в будущем, результаты инвестирования в прошлом не определяют доходы в будущем.</w:t>
      </w:r>
    </w:p>
    <w:p w:rsidR="00E302FE" w:rsidRPr="00E302FE" w:rsidRDefault="00E302FE" w:rsidP="00E302FE">
      <w:pPr>
        <w:ind w:firstLine="709"/>
        <w:jc w:val="both"/>
        <w:rPr>
          <w:sz w:val="24"/>
          <w:szCs w:val="24"/>
        </w:rPr>
      </w:pPr>
      <w:r w:rsidRPr="00E302FE">
        <w:rPr>
          <w:sz w:val="24"/>
          <w:szCs w:val="24"/>
        </w:rPr>
        <w:t>Информация, содержащая предположения (ожидания и прогнозы) относительно б</w:t>
      </w:r>
      <w:r w:rsidRPr="00E302FE">
        <w:rPr>
          <w:sz w:val="24"/>
          <w:szCs w:val="24"/>
        </w:rPr>
        <w:t>у</w:t>
      </w:r>
      <w:r w:rsidRPr="00E302FE">
        <w:rPr>
          <w:sz w:val="24"/>
          <w:szCs w:val="24"/>
        </w:rPr>
        <w:t>дущих событий, а также показатели возможной будущей доходности, не являются утвержд</w:t>
      </w:r>
      <w:r w:rsidRPr="00E302FE">
        <w:rPr>
          <w:sz w:val="24"/>
          <w:szCs w:val="24"/>
        </w:rPr>
        <w:t>е</w:t>
      </w:r>
      <w:r w:rsidRPr="00E302FE">
        <w:rPr>
          <w:sz w:val="24"/>
          <w:szCs w:val="24"/>
        </w:rPr>
        <w:t>ниями и не содержат обещаний будущей доходности. Указанная информация должна во</w:t>
      </w:r>
      <w:r w:rsidRPr="00E302FE">
        <w:rPr>
          <w:sz w:val="24"/>
          <w:szCs w:val="24"/>
        </w:rPr>
        <w:t>с</w:t>
      </w:r>
      <w:r w:rsidRPr="00E302FE">
        <w:rPr>
          <w:sz w:val="24"/>
          <w:szCs w:val="24"/>
        </w:rPr>
        <w:t>приниматься Клиентом как независимая оценка, основанная на интерпретации публичной информации о финансовых инструментах.</w:t>
      </w:r>
    </w:p>
    <w:p w:rsidR="00E302FE" w:rsidRPr="00E302FE" w:rsidRDefault="00E302FE" w:rsidP="00E302FE">
      <w:pPr>
        <w:ind w:firstLine="709"/>
        <w:jc w:val="both"/>
        <w:rPr>
          <w:sz w:val="24"/>
          <w:szCs w:val="24"/>
        </w:rPr>
      </w:pPr>
      <w:r w:rsidRPr="00E302FE">
        <w:rPr>
          <w:sz w:val="24"/>
          <w:szCs w:val="24"/>
        </w:rPr>
        <w:t>Индивидуальная инвестиционная рекомендация не содержит гарантии совершения Клиентом сделки по определенной цене.</w:t>
      </w:r>
    </w:p>
    <w:p w:rsidR="00E302FE" w:rsidRPr="00E302FE" w:rsidRDefault="00E302FE" w:rsidP="00E302FE">
      <w:pPr>
        <w:ind w:firstLine="709"/>
        <w:jc w:val="both"/>
        <w:rPr>
          <w:sz w:val="24"/>
          <w:szCs w:val="24"/>
        </w:rPr>
      </w:pPr>
      <w:r w:rsidRPr="00E302FE">
        <w:rPr>
          <w:sz w:val="24"/>
          <w:szCs w:val="24"/>
        </w:rPr>
        <w:t>Индивидуальная инвестиционная рекомендация не содержит рекламу финансовых инструментов.</w:t>
      </w:r>
    </w:p>
    <w:p w:rsidR="00E302FE" w:rsidRPr="00E302FE" w:rsidRDefault="00E302FE" w:rsidP="00E302FE">
      <w:pPr>
        <w:ind w:firstLine="709"/>
        <w:jc w:val="both"/>
        <w:rPr>
          <w:sz w:val="24"/>
          <w:szCs w:val="24"/>
        </w:rPr>
      </w:pPr>
      <w:r w:rsidRPr="00E302FE">
        <w:rPr>
          <w:sz w:val="24"/>
          <w:szCs w:val="24"/>
        </w:rPr>
        <w:t>Индивидуальная инвестиционная рекомендация впоследствии может быть изменена.</w:t>
      </w:r>
    </w:p>
    <w:p w:rsidR="00E302FE" w:rsidRPr="00E302FE" w:rsidRDefault="00E302FE" w:rsidP="00E302FE">
      <w:pPr>
        <w:ind w:firstLine="709"/>
        <w:jc w:val="both"/>
        <w:rPr>
          <w:sz w:val="24"/>
          <w:szCs w:val="24"/>
        </w:rPr>
      </w:pPr>
      <w:r w:rsidRPr="00E302FE">
        <w:rPr>
          <w:sz w:val="24"/>
          <w:szCs w:val="24"/>
        </w:rPr>
        <w:t>Клиент не вправе полагаться при принятии инвестиционного решения исключительно на информацию, которая содержится в индивидуальной инвестиционной рекомендации, а должен самостоятельно проводить инвестиционный анализ при принятии инвестиционного решения.</w:t>
      </w:r>
    </w:p>
    <w:p w:rsidR="00E302FE" w:rsidRPr="00E302FE" w:rsidRDefault="00E302FE" w:rsidP="00E302FE">
      <w:pPr>
        <w:ind w:firstLine="709"/>
        <w:jc w:val="both"/>
        <w:rPr>
          <w:sz w:val="24"/>
          <w:szCs w:val="24"/>
        </w:rPr>
      </w:pPr>
      <w:r w:rsidRPr="00E302FE">
        <w:rPr>
          <w:sz w:val="24"/>
          <w:szCs w:val="24"/>
        </w:rPr>
        <w:t>Предоставленные Банком индивидуальные инвестиционные рекомендации во всех случаях носят исключительно рекомендательный и информационный характер и не являются предложением или побуждением к заключению сделки с ценными бумагами и (или) прои</w:t>
      </w:r>
      <w:r w:rsidRPr="00E302FE">
        <w:rPr>
          <w:sz w:val="24"/>
          <w:szCs w:val="24"/>
        </w:rPr>
        <w:t>з</w:t>
      </w:r>
      <w:r w:rsidRPr="00E302FE">
        <w:rPr>
          <w:sz w:val="24"/>
          <w:szCs w:val="24"/>
        </w:rPr>
        <w:t>водными финансовыми инструментами. Все решения о совершении Клиентом каких-либо операций с ценными бумагами и (или) производными финансовыми инструментами прин</w:t>
      </w:r>
      <w:r w:rsidRPr="00E302FE">
        <w:rPr>
          <w:sz w:val="24"/>
          <w:szCs w:val="24"/>
        </w:rPr>
        <w:t>и</w:t>
      </w:r>
      <w:r w:rsidRPr="00E302FE">
        <w:rPr>
          <w:sz w:val="24"/>
          <w:szCs w:val="24"/>
        </w:rPr>
        <w:t>маются Клиентом самостоятельно. Банк не несет ответственности за любые последствия, в том числе возникновение убытков от сделок, заключенных Клиентом на основании индив</w:t>
      </w:r>
      <w:r w:rsidRPr="00E302FE">
        <w:rPr>
          <w:sz w:val="24"/>
          <w:szCs w:val="24"/>
        </w:rPr>
        <w:t>и</w:t>
      </w:r>
      <w:r w:rsidRPr="00E302FE">
        <w:rPr>
          <w:sz w:val="24"/>
          <w:szCs w:val="24"/>
        </w:rPr>
        <w:t>дуальной инвестиционной рекомендации.</w:t>
      </w:r>
    </w:p>
    <w:p w:rsidR="00E302FE" w:rsidRPr="00E302FE" w:rsidRDefault="00E302FE" w:rsidP="00E302FE">
      <w:pPr>
        <w:ind w:firstLine="709"/>
        <w:jc w:val="both"/>
        <w:rPr>
          <w:sz w:val="24"/>
          <w:szCs w:val="24"/>
        </w:rPr>
      </w:pPr>
      <w:r w:rsidRPr="00E302FE">
        <w:rPr>
          <w:sz w:val="24"/>
          <w:szCs w:val="24"/>
        </w:rPr>
        <w:t>При рассмотрении индивидуальной инвестиционной рекомендации Клиенту следует помнить о следующих рисках:</w:t>
      </w:r>
    </w:p>
    <w:tbl>
      <w:tblPr>
        <w:tblW w:w="9747" w:type="dxa"/>
        <w:tblLook w:val="04A0"/>
      </w:tblPr>
      <w:tblGrid>
        <w:gridCol w:w="817"/>
        <w:gridCol w:w="296"/>
        <w:gridCol w:w="8634"/>
      </w:tblGrid>
      <w:tr w:rsidR="00C228CA" w:rsidRPr="00072483" w:rsidTr="00866CEE">
        <w:tc>
          <w:tcPr>
            <w:tcW w:w="817" w:type="dxa"/>
          </w:tcPr>
          <w:p w:rsidR="00C228CA" w:rsidRPr="00072483" w:rsidRDefault="00C228CA" w:rsidP="00866CEE">
            <w:pPr>
              <w:pStyle w:val="Default"/>
              <w:rPr>
                <w:rFonts w:ascii="Times New Roman" w:hAnsi="Times New Roman" w:cs="Times New Roman"/>
                <w:bCs/>
              </w:rPr>
            </w:pPr>
          </w:p>
        </w:tc>
        <w:tc>
          <w:tcPr>
            <w:tcW w:w="296" w:type="dxa"/>
          </w:tcPr>
          <w:p w:rsidR="00C228CA" w:rsidRPr="00072483" w:rsidRDefault="00C228CA"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C228CA" w:rsidRPr="00072483" w:rsidRDefault="00C228CA" w:rsidP="00866CEE">
            <w:pPr>
              <w:jc w:val="both"/>
              <w:rPr>
                <w:sz w:val="24"/>
                <w:szCs w:val="24"/>
              </w:rPr>
            </w:pPr>
            <w:r w:rsidRPr="00E302FE">
              <w:rPr>
                <w:sz w:val="24"/>
                <w:szCs w:val="24"/>
              </w:rPr>
              <w:t>у Клиента в определенный момент времени может отсутствовать часть релеван</w:t>
            </w:r>
            <w:r w:rsidRPr="00E302FE">
              <w:rPr>
                <w:sz w:val="24"/>
                <w:szCs w:val="24"/>
              </w:rPr>
              <w:t>т</w:t>
            </w:r>
            <w:r w:rsidRPr="00E302FE">
              <w:rPr>
                <w:sz w:val="24"/>
                <w:szCs w:val="24"/>
              </w:rPr>
              <w:t>ной для Клиента информации, в связи с чем при принятии инвестиционного р</w:t>
            </w:r>
            <w:r w:rsidRPr="00E302FE">
              <w:rPr>
                <w:sz w:val="24"/>
                <w:szCs w:val="24"/>
              </w:rPr>
              <w:t>е</w:t>
            </w:r>
            <w:r w:rsidRPr="00E302FE">
              <w:rPr>
                <w:sz w:val="24"/>
                <w:szCs w:val="24"/>
              </w:rPr>
              <w:t>шения Клиенту не стоит ограничиваться лишь информацией, которая содержится в индивидуальной инвестиционной рекомендации;</w:t>
            </w:r>
          </w:p>
        </w:tc>
      </w:tr>
      <w:tr w:rsidR="00C228CA" w:rsidRPr="00072483" w:rsidTr="00866CEE">
        <w:tc>
          <w:tcPr>
            <w:tcW w:w="817" w:type="dxa"/>
          </w:tcPr>
          <w:p w:rsidR="00C228CA" w:rsidRPr="00072483" w:rsidRDefault="00C228CA" w:rsidP="00866CEE">
            <w:pPr>
              <w:pStyle w:val="Default"/>
              <w:rPr>
                <w:rFonts w:ascii="Times New Roman" w:hAnsi="Times New Roman" w:cs="Times New Roman"/>
                <w:bCs/>
              </w:rPr>
            </w:pPr>
          </w:p>
        </w:tc>
        <w:tc>
          <w:tcPr>
            <w:tcW w:w="296" w:type="dxa"/>
          </w:tcPr>
          <w:p w:rsidR="00C228CA" w:rsidRPr="00072483" w:rsidRDefault="00C228CA"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C228CA" w:rsidRPr="00072483" w:rsidRDefault="00C228CA" w:rsidP="00866CEE">
            <w:pPr>
              <w:jc w:val="both"/>
              <w:rPr>
                <w:bCs/>
                <w:sz w:val="24"/>
                <w:szCs w:val="24"/>
              </w:rPr>
            </w:pPr>
            <w:r w:rsidRPr="00E302FE">
              <w:rPr>
                <w:sz w:val="24"/>
                <w:szCs w:val="24"/>
              </w:rPr>
              <w:t>Клиент может неправильно интерпретировать информацию о сделке и инвест</w:t>
            </w:r>
            <w:r w:rsidRPr="00E302FE">
              <w:rPr>
                <w:sz w:val="24"/>
                <w:szCs w:val="24"/>
              </w:rPr>
              <w:t>и</w:t>
            </w:r>
            <w:r w:rsidRPr="00E302FE">
              <w:rPr>
                <w:sz w:val="24"/>
                <w:szCs w:val="24"/>
              </w:rPr>
              <w:t>ционном результате указанной сделки, которая содержится в индивидуальной инвестиционной рекомендации;</w:t>
            </w:r>
          </w:p>
        </w:tc>
      </w:tr>
      <w:tr w:rsidR="00C228CA" w:rsidRPr="00072483" w:rsidTr="00866CEE">
        <w:tc>
          <w:tcPr>
            <w:tcW w:w="817" w:type="dxa"/>
          </w:tcPr>
          <w:p w:rsidR="00C228CA" w:rsidRPr="00072483" w:rsidRDefault="00C228CA" w:rsidP="00866CEE">
            <w:pPr>
              <w:pStyle w:val="Default"/>
              <w:rPr>
                <w:rFonts w:ascii="Times New Roman" w:hAnsi="Times New Roman" w:cs="Times New Roman"/>
                <w:bCs/>
              </w:rPr>
            </w:pPr>
          </w:p>
        </w:tc>
        <w:tc>
          <w:tcPr>
            <w:tcW w:w="296" w:type="dxa"/>
          </w:tcPr>
          <w:p w:rsidR="00C228CA" w:rsidRPr="00072483" w:rsidRDefault="00C228CA"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C228CA" w:rsidRPr="00072483" w:rsidRDefault="00C228CA" w:rsidP="00866CEE">
            <w:pPr>
              <w:jc w:val="both"/>
              <w:rPr>
                <w:bCs/>
                <w:sz w:val="24"/>
                <w:szCs w:val="24"/>
              </w:rPr>
            </w:pPr>
            <w:r w:rsidRPr="00E302FE">
              <w:rPr>
                <w:sz w:val="24"/>
                <w:szCs w:val="24"/>
              </w:rPr>
              <w:t>Клиент может чрезмерно экстраполировать информацию, представленную в и</w:t>
            </w:r>
            <w:r w:rsidRPr="00E302FE">
              <w:rPr>
                <w:sz w:val="24"/>
                <w:szCs w:val="24"/>
              </w:rPr>
              <w:t>н</w:t>
            </w:r>
            <w:r w:rsidRPr="00E302FE">
              <w:rPr>
                <w:sz w:val="24"/>
                <w:szCs w:val="24"/>
              </w:rPr>
              <w:t>дивидуальной инвестиционной рекомендации;</w:t>
            </w:r>
          </w:p>
        </w:tc>
      </w:tr>
      <w:tr w:rsidR="00C228CA" w:rsidRPr="00292985" w:rsidTr="00866CEE">
        <w:tc>
          <w:tcPr>
            <w:tcW w:w="817" w:type="dxa"/>
          </w:tcPr>
          <w:p w:rsidR="00C228CA" w:rsidRPr="00072483" w:rsidRDefault="00C228CA" w:rsidP="00866CEE">
            <w:pPr>
              <w:pStyle w:val="Default"/>
              <w:rPr>
                <w:rFonts w:ascii="Times New Roman" w:hAnsi="Times New Roman" w:cs="Times New Roman"/>
                <w:bCs/>
              </w:rPr>
            </w:pPr>
          </w:p>
        </w:tc>
        <w:tc>
          <w:tcPr>
            <w:tcW w:w="296" w:type="dxa"/>
          </w:tcPr>
          <w:p w:rsidR="00C228CA" w:rsidRPr="00072483" w:rsidRDefault="00C228CA"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C228CA" w:rsidRPr="00292985" w:rsidRDefault="00C228CA" w:rsidP="00866CEE">
            <w:pPr>
              <w:jc w:val="both"/>
              <w:rPr>
                <w:bCs/>
                <w:sz w:val="24"/>
                <w:szCs w:val="24"/>
              </w:rPr>
            </w:pPr>
            <w:r w:rsidRPr="00E302FE">
              <w:rPr>
                <w:sz w:val="24"/>
                <w:szCs w:val="24"/>
              </w:rPr>
              <w:t>индивидуальная инвестиционная рекомендация имеет срок действия, в связи с чем использование Клиентом индивидуальной инвестиционной рекомендации после истечения срока действия может привести к возникновению убытков у указанного Клиента.</w:t>
            </w:r>
          </w:p>
        </w:tc>
      </w:tr>
    </w:tbl>
    <w:p w:rsidR="00E302FE" w:rsidRPr="00E302FE" w:rsidRDefault="00E302FE" w:rsidP="00E302FE">
      <w:pPr>
        <w:ind w:firstLine="709"/>
        <w:jc w:val="both"/>
        <w:rPr>
          <w:sz w:val="24"/>
          <w:szCs w:val="24"/>
        </w:rPr>
      </w:pPr>
      <w:r w:rsidRPr="00E302FE">
        <w:rPr>
          <w:sz w:val="24"/>
          <w:szCs w:val="24"/>
        </w:rPr>
        <w:t>Банк не несет ответственности за убытки, понесенные Клиентом в случае, если Кл</w:t>
      </w:r>
      <w:r w:rsidRPr="00E302FE">
        <w:rPr>
          <w:sz w:val="24"/>
          <w:szCs w:val="24"/>
        </w:rPr>
        <w:t>и</w:t>
      </w:r>
      <w:r w:rsidRPr="00E302FE">
        <w:rPr>
          <w:sz w:val="24"/>
          <w:szCs w:val="24"/>
        </w:rPr>
        <w:t>ент совершил сделки с финансовыми инструментами на основании предоставленной инд</w:t>
      </w:r>
      <w:r w:rsidRPr="00E302FE">
        <w:rPr>
          <w:sz w:val="24"/>
          <w:szCs w:val="24"/>
        </w:rPr>
        <w:t>и</w:t>
      </w:r>
      <w:r w:rsidRPr="00E302FE">
        <w:rPr>
          <w:sz w:val="24"/>
          <w:szCs w:val="24"/>
        </w:rPr>
        <w:t>видуальной инвестиционной рекомендации с отступлением от условий, указанных в индив</w:t>
      </w:r>
      <w:r w:rsidRPr="00E302FE">
        <w:rPr>
          <w:sz w:val="24"/>
          <w:szCs w:val="24"/>
        </w:rPr>
        <w:t>и</w:t>
      </w:r>
      <w:r w:rsidRPr="00E302FE">
        <w:rPr>
          <w:sz w:val="24"/>
          <w:szCs w:val="24"/>
        </w:rPr>
        <w:t>дуальной инвестиционной рекомендации (и (или) в договоре об инвестиционном консульт</w:t>
      </w:r>
      <w:r w:rsidRPr="00E302FE">
        <w:rPr>
          <w:sz w:val="24"/>
          <w:szCs w:val="24"/>
        </w:rPr>
        <w:t>и</w:t>
      </w:r>
      <w:r w:rsidRPr="00E302FE">
        <w:rPr>
          <w:sz w:val="24"/>
          <w:szCs w:val="24"/>
        </w:rPr>
        <w:t>ровании), в том числе частично либо за пределами сроков, указанных в индивидуальной и</w:t>
      </w:r>
      <w:r w:rsidRPr="00E302FE">
        <w:rPr>
          <w:sz w:val="24"/>
          <w:szCs w:val="24"/>
        </w:rPr>
        <w:t>н</w:t>
      </w:r>
      <w:r w:rsidRPr="00E302FE">
        <w:rPr>
          <w:sz w:val="24"/>
          <w:szCs w:val="24"/>
        </w:rPr>
        <w:t>вестиционной рекомендации (и (или) в договоре об инвестиционном консультировании), а также в иных случаях, установленных законодательством Российской Федерации.</w:t>
      </w:r>
    </w:p>
    <w:p w:rsidR="009E3B37" w:rsidRDefault="009E3B37"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Операционный риск</w:t>
      </w:r>
    </w:p>
    <w:p w:rsidR="00E302FE" w:rsidRPr="00E302FE" w:rsidRDefault="00E302FE" w:rsidP="00E302FE">
      <w:pPr>
        <w:ind w:firstLine="709"/>
        <w:jc w:val="both"/>
        <w:rPr>
          <w:sz w:val="24"/>
          <w:szCs w:val="24"/>
        </w:rPr>
      </w:pPr>
      <w:r w:rsidRPr="00E302FE">
        <w:rPr>
          <w:sz w:val="24"/>
          <w:szCs w:val="24"/>
        </w:rPr>
        <w:t>Операционный риск заключается в возможности причинения Клиенту убытков (во</w:t>
      </w:r>
      <w:r w:rsidRPr="00E302FE">
        <w:rPr>
          <w:sz w:val="24"/>
          <w:szCs w:val="24"/>
        </w:rPr>
        <w:t>з</w:t>
      </w:r>
      <w:r w:rsidRPr="00E302FE">
        <w:rPr>
          <w:sz w:val="24"/>
          <w:szCs w:val="24"/>
        </w:rPr>
        <w:t>никновения у Клиента убытков) в результате нарушения внутренних процедур Банка, нес</w:t>
      </w:r>
      <w:r w:rsidRPr="00E302FE">
        <w:rPr>
          <w:sz w:val="24"/>
          <w:szCs w:val="24"/>
        </w:rPr>
        <w:t>о</w:t>
      </w:r>
      <w:r w:rsidRPr="00E302FE">
        <w:rPr>
          <w:sz w:val="24"/>
          <w:szCs w:val="24"/>
        </w:rPr>
        <w:t>вершенства или ошибочных внутренних процессов Банка, некорректных действий или бе</w:t>
      </w:r>
      <w:r w:rsidRPr="00E302FE">
        <w:rPr>
          <w:sz w:val="24"/>
          <w:szCs w:val="24"/>
        </w:rPr>
        <w:t>з</w:t>
      </w:r>
      <w:r w:rsidRPr="00E302FE">
        <w:rPr>
          <w:sz w:val="24"/>
          <w:szCs w:val="24"/>
        </w:rPr>
        <w:t>действия работников Банка и (или) воздействия внешних событий, сбоев и недостатков и</w:t>
      </w:r>
      <w:r w:rsidRPr="00E302FE">
        <w:rPr>
          <w:sz w:val="24"/>
          <w:szCs w:val="24"/>
        </w:rPr>
        <w:t>н</w:t>
      </w:r>
      <w:r w:rsidRPr="00E302FE">
        <w:rPr>
          <w:sz w:val="24"/>
          <w:szCs w:val="24"/>
        </w:rPr>
        <w:t>формационных, технологических и иных систем (Банка, контрагентов Банка, инфрастру</w:t>
      </w:r>
      <w:r w:rsidRPr="00E302FE">
        <w:rPr>
          <w:sz w:val="24"/>
          <w:szCs w:val="24"/>
        </w:rPr>
        <w:t>к</w:t>
      </w:r>
      <w:r w:rsidRPr="00E302FE">
        <w:rPr>
          <w:sz w:val="24"/>
          <w:szCs w:val="24"/>
        </w:rPr>
        <w:t>турных организаций, в том числе организаторов торговли, клиринговых организаций, а та</w:t>
      </w:r>
      <w:r w:rsidRPr="00E302FE">
        <w:rPr>
          <w:sz w:val="24"/>
          <w:szCs w:val="24"/>
        </w:rPr>
        <w:t>к</w:t>
      </w:r>
      <w:r w:rsidRPr="00E302FE">
        <w:rPr>
          <w:sz w:val="24"/>
          <w:szCs w:val="24"/>
        </w:rPr>
        <w:t>же других организаций).</w:t>
      </w:r>
    </w:p>
    <w:p w:rsidR="00E302FE" w:rsidRPr="00E302FE" w:rsidRDefault="00E302FE" w:rsidP="00E302FE">
      <w:pPr>
        <w:ind w:firstLine="709"/>
        <w:jc w:val="both"/>
        <w:rPr>
          <w:sz w:val="24"/>
          <w:szCs w:val="24"/>
        </w:rPr>
      </w:pPr>
      <w:r w:rsidRPr="00E302FE">
        <w:rPr>
          <w:sz w:val="24"/>
          <w:szCs w:val="24"/>
        </w:rPr>
        <w:t>Таким образом, операционный риск представляет собой риск, связанный с возможн</w:t>
      </w:r>
      <w:r w:rsidRPr="00E302FE">
        <w:rPr>
          <w:sz w:val="24"/>
          <w:szCs w:val="24"/>
        </w:rPr>
        <w:t>о</w:t>
      </w:r>
      <w:r w:rsidRPr="00E302FE">
        <w:rPr>
          <w:sz w:val="24"/>
          <w:szCs w:val="24"/>
        </w:rPr>
        <w:t>стью возникновения финансовых потерь из-за несоответствия характера и масштаба де</w:t>
      </w:r>
      <w:r w:rsidRPr="00E302FE">
        <w:rPr>
          <w:sz w:val="24"/>
          <w:szCs w:val="24"/>
        </w:rPr>
        <w:t>я</w:t>
      </w:r>
      <w:r w:rsidRPr="00E302FE">
        <w:rPr>
          <w:sz w:val="24"/>
          <w:szCs w:val="24"/>
        </w:rPr>
        <w:t>тельности Банка или его контрагентов требованиям действующего законодательства, их н</w:t>
      </w:r>
      <w:r w:rsidRPr="00E302FE">
        <w:rPr>
          <w:sz w:val="24"/>
          <w:szCs w:val="24"/>
        </w:rPr>
        <w:t>а</w:t>
      </w:r>
      <w:r w:rsidRPr="00E302FE">
        <w:rPr>
          <w:sz w:val="24"/>
          <w:szCs w:val="24"/>
        </w:rPr>
        <w:t>рушения работниками Банка и (или) иными лицами вследствие непреднамеренных или умышленных действий или бездействия, несоразмерности (недостаточности) функционал</w:t>
      </w:r>
      <w:r w:rsidRPr="00E302FE">
        <w:rPr>
          <w:sz w:val="24"/>
          <w:szCs w:val="24"/>
        </w:rPr>
        <w:t>ь</w:t>
      </w:r>
      <w:r w:rsidRPr="00E302FE">
        <w:rPr>
          <w:sz w:val="24"/>
          <w:szCs w:val="24"/>
        </w:rPr>
        <w:t>ных возможностей (характеристик) применяемых информационных, технологических и др</w:t>
      </w:r>
      <w:r w:rsidRPr="00E302FE">
        <w:rPr>
          <w:sz w:val="24"/>
          <w:szCs w:val="24"/>
        </w:rPr>
        <w:t>у</w:t>
      </w:r>
      <w:r w:rsidRPr="00E302FE">
        <w:rPr>
          <w:sz w:val="24"/>
          <w:szCs w:val="24"/>
        </w:rPr>
        <w:t>гих систем и (или) их отказа (нарушения функционирования), а также в результате воздейс</w:t>
      </w:r>
      <w:r w:rsidRPr="00E302FE">
        <w:rPr>
          <w:sz w:val="24"/>
          <w:szCs w:val="24"/>
        </w:rPr>
        <w:t>т</w:t>
      </w:r>
      <w:r w:rsidRPr="00E302FE">
        <w:rPr>
          <w:sz w:val="24"/>
          <w:szCs w:val="24"/>
        </w:rPr>
        <w:t>вия внешних событий. К числу контрагентов Банка, в процессе деятельности которых возн</w:t>
      </w:r>
      <w:r w:rsidRPr="00E302FE">
        <w:rPr>
          <w:sz w:val="24"/>
          <w:szCs w:val="24"/>
        </w:rPr>
        <w:t>и</w:t>
      </w:r>
      <w:r w:rsidRPr="00E302FE">
        <w:rPr>
          <w:sz w:val="24"/>
          <w:szCs w:val="24"/>
        </w:rPr>
        <w:t>кает подверженность Клиента операционному риску, относятся организаторы торговли, д</w:t>
      </w:r>
      <w:r w:rsidRPr="00E302FE">
        <w:rPr>
          <w:sz w:val="24"/>
          <w:szCs w:val="24"/>
        </w:rPr>
        <w:t>е</w:t>
      </w:r>
      <w:r w:rsidRPr="00E302FE">
        <w:rPr>
          <w:sz w:val="24"/>
          <w:szCs w:val="24"/>
        </w:rPr>
        <w:t>позитарии, клиринговые организации.</w:t>
      </w:r>
    </w:p>
    <w:p w:rsidR="00E302FE" w:rsidRPr="00E302FE" w:rsidRDefault="00E302FE" w:rsidP="00E302FE">
      <w:pPr>
        <w:ind w:firstLine="709"/>
        <w:jc w:val="both"/>
        <w:rPr>
          <w:sz w:val="24"/>
          <w:szCs w:val="24"/>
        </w:rPr>
      </w:pPr>
      <w:r w:rsidRPr="00E302FE">
        <w:rPr>
          <w:sz w:val="24"/>
          <w:szCs w:val="24"/>
        </w:rPr>
        <w:t>Операционный риск может исключить или затруднить совершение сделок (операций) и в результате привести к убыткам Клиента.</w:t>
      </w:r>
    </w:p>
    <w:p w:rsidR="00E302FE" w:rsidRPr="00E302FE" w:rsidRDefault="00E302FE" w:rsidP="00E302FE">
      <w:pPr>
        <w:ind w:firstLine="709"/>
        <w:jc w:val="both"/>
        <w:rPr>
          <w:sz w:val="24"/>
          <w:szCs w:val="24"/>
        </w:rPr>
      </w:pPr>
      <w:r w:rsidRPr="00E302FE">
        <w:rPr>
          <w:sz w:val="24"/>
          <w:szCs w:val="24"/>
        </w:rPr>
        <w:t>Клиенту необходимо внимательно ознакомиться с условиями договоров Банка с Кл</w:t>
      </w:r>
      <w:r w:rsidRPr="00E302FE">
        <w:rPr>
          <w:sz w:val="24"/>
          <w:szCs w:val="24"/>
        </w:rPr>
        <w:t>и</w:t>
      </w:r>
      <w:r w:rsidRPr="00E302FE">
        <w:rPr>
          <w:sz w:val="24"/>
          <w:szCs w:val="24"/>
        </w:rPr>
        <w:t>ентом для того, чтобы оценить, какие из рисков, в том числе из рисков технических сбоев, несет Банк, а какие из рисков технических сбоев несет Клиент.</w:t>
      </w:r>
    </w:p>
    <w:p w:rsidR="009E3B37" w:rsidRDefault="009E3B37"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Технический (технологический) риск</w:t>
      </w:r>
    </w:p>
    <w:p w:rsidR="00E302FE" w:rsidRPr="00E302FE" w:rsidRDefault="00E302FE" w:rsidP="00E302FE">
      <w:pPr>
        <w:ind w:firstLine="709"/>
        <w:jc w:val="both"/>
        <w:rPr>
          <w:sz w:val="24"/>
          <w:szCs w:val="24"/>
        </w:rPr>
      </w:pPr>
      <w:r w:rsidRPr="00E302FE">
        <w:rPr>
          <w:sz w:val="24"/>
          <w:szCs w:val="24"/>
        </w:rPr>
        <w:t>Технический (технологический) риск характеризуется возможностью прямых или косвенных потерь по причине возникновения нарушений в функционировании технических и программных систем, используемых для осуществления инвестиционного консультиров</w:t>
      </w:r>
      <w:r w:rsidRPr="00E302FE">
        <w:rPr>
          <w:sz w:val="24"/>
          <w:szCs w:val="24"/>
        </w:rPr>
        <w:t>а</w:t>
      </w:r>
      <w:r w:rsidRPr="00E302FE">
        <w:rPr>
          <w:sz w:val="24"/>
          <w:szCs w:val="24"/>
        </w:rPr>
        <w:t>ния (проблем технического характера, в том числе неисправностей и сбоев в работе оборуд</w:t>
      </w:r>
      <w:r w:rsidRPr="00E302FE">
        <w:rPr>
          <w:sz w:val="24"/>
          <w:szCs w:val="24"/>
        </w:rPr>
        <w:t>о</w:t>
      </w:r>
      <w:r w:rsidRPr="00E302FE">
        <w:rPr>
          <w:sz w:val="24"/>
          <w:szCs w:val="24"/>
        </w:rPr>
        <w:t>вания, программного обеспечения, энергоснабжения и т.п.), что может затруднить или сд</w:t>
      </w:r>
      <w:r w:rsidRPr="00E302FE">
        <w:rPr>
          <w:sz w:val="24"/>
          <w:szCs w:val="24"/>
        </w:rPr>
        <w:t>е</w:t>
      </w:r>
      <w:r w:rsidRPr="00E302FE">
        <w:rPr>
          <w:sz w:val="24"/>
          <w:szCs w:val="24"/>
        </w:rPr>
        <w:t>лать невозможным направление и получение сообщений, содержащих индивидуальные и</w:t>
      </w:r>
      <w:r w:rsidRPr="00E302FE">
        <w:rPr>
          <w:sz w:val="24"/>
          <w:szCs w:val="24"/>
        </w:rPr>
        <w:t>н</w:t>
      </w:r>
      <w:r w:rsidRPr="00E302FE">
        <w:rPr>
          <w:sz w:val="24"/>
          <w:szCs w:val="24"/>
        </w:rPr>
        <w:t>вестиционные рекомендации, и иных сообщений.</w:t>
      </w:r>
    </w:p>
    <w:p w:rsidR="009E3B37" w:rsidRDefault="009E3B37" w:rsidP="00E302FE">
      <w:pPr>
        <w:ind w:firstLine="709"/>
        <w:jc w:val="both"/>
        <w:rPr>
          <w:b/>
          <w:i/>
          <w:sz w:val="24"/>
          <w:szCs w:val="24"/>
        </w:rPr>
      </w:pPr>
    </w:p>
    <w:p w:rsidR="00E302FE" w:rsidRPr="00E302FE" w:rsidRDefault="00E302FE" w:rsidP="00E302FE">
      <w:pPr>
        <w:ind w:firstLine="709"/>
        <w:jc w:val="both"/>
        <w:rPr>
          <w:sz w:val="24"/>
          <w:szCs w:val="24"/>
        </w:rPr>
      </w:pPr>
      <w:r w:rsidRPr="00E302FE">
        <w:rPr>
          <w:b/>
          <w:i/>
          <w:sz w:val="24"/>
          <w:szCs w:val="24"/>
        </w:rPr>
        <w:t>Правовой риск</w:t>
      </w:r>
    </w:p>
    <w:p w:rsidR="00E302FE" w:rsidRPr="00E302FE" w:rsidRDefault="00E302FE" w:rsidP="00E302FE">
      <w:pPr>
        <w:ind w:firstLine="709"/>
        <w:jc w:val="both"/>
        <w:rPr>
          <w:sz w:val="24"/>
          <w:szCs w:val="24"/>
        </w:rPr>
      </w:pPr>
      <w:r w:rsidRPr="00E302FE">
        <w:rPr>
          <w:sz w:val="24"/>
          <w:szCs w:val="24"/>
        </w:rPr>
        <w:t>Правовой риск представляет собой риск возникновения убытков вследствие наруш</w:t>
      </w:r>
      <w:r w:rsidRPr="00E302FE">
        <w:rPr>
          <w:sz w:val="24"/>
          <w:szCs w:val="24"/>
        </w:rPr>
        <w:t>е</w:t>
      </w:r>
      <w:r w:rsidRPr="00E302FE">
        <w:rPr>
          <w:sz w:val="24"/>
          <w:szCs w:val="24"/>
        </w:rPr>
        <w:t>ния условий заключенных договоров, допускаемых правовых ошибок при осуществлении деятельности (например, неправильные юридические консультации или неверное составл</w:t>
      </w:r>
      <w:r w:rsidRPr="00E302FE">
        <w:rPr>
          <w:sz w:val="24"/>
          <w:szCs w:val="24"/>
        </w:rPr>
        <w:t>е</w:t>
      </w:r>
      <w:r w:rsidRPr="00E302FE">
        <w:rPr>
          <w:sz w:val="24"/>
          <w:szCs w:val="24"/>
        </w:rPr>
        <w:t>ние документов, в том числе при рассмотрении спорных вопросов в судебных органах), н</w:t>
      </w:r>
      <w:r w:rsidRPr="00E302FE">
        <w:rPr>
          <w:sz w:val="24"/>
          <w:szCs w:val="24"/>
        </w:rPr>
        <w:t>е</w:t>
      </w:r>
      <w:r w:rsidRPr="00E302FE">
        <w:rPr>
          <w:sz w:val="24"/>
          <w:szCs w:val="24"/>
        </w:rPr>
        <w:t>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нарушения контрагентами нормативных правовых актов).</w:t>
      </w:r>
    </w:p>
    <w:p w:rsidR="00E302FE" w:rsidRPr="00E302FE" w:rsidRDefault="00E302FE" w:rsidP="00E302FE">
      <w:pPr>
        <w:ind w:firstLine="709"/>
        <w:jc w:val="both"/>
        <w:rPr>
          <w:sz w:val="24"/>
          <w:szCs w:val="24"/>
        </w:rPr>
      </w:pPr>
      <w:r w:rsidRPr="00E302FE">
        <w:rPr>
          <w:sz w:val="24"/>
          <w:szCs w:val="24"/>
        </w:rPr>
        <w:lastRenderedPageBreak/>
        <w:t>В том числе правовой риск представляет собой риск потерь из-за изменения законод</w:t>
      </w:r>
      <w:r w:rsidRPr="00E302FE">
        <w:rPr>
          <w:sz w:val="24"/>
          <w:szCs w:val="24"/>
        </w:rPr>
        <w:t>а</w:t>
      </w:r>
      <w:r w:rsidRPr="00E302FE">
        <w:rPr>
          <w:sz w:val="24"/>
          <w:szCs w:val="24"/>
        </w:rPr>
        <w:t>тельства, в том числе нормативных актов, регулирующих рынок ценных бумаг. Законод</w:t>
      </w:r>
      <w:r w:rsidRPr="00E302FE">
        <w:rPr>
          <w:sz w:val="24"/>
          <w:szCs w:val="24"/>
        </w:rPr>
        <w:t>а</w:t>
      </w:r>
      <w:r w:rsidRPr="00E302FE">
        <w:rPr>
          <w:sz w:val="24"/>
          <w:szCs w:val="24"/>
        </w:rPr>
        <w:t>тельное регулирование порядка осуществления инвестиционного консультирования с выс</w:t>
      </w:r>
      <w:r w:rsidRPr="00E302FE">
        <w:rPr>
          <w:sz w:val="24"/>
          <w:szCs w:val="24"/>
        </w:rPr>
        <w:t>о</w:t>
      </w:r>
      <w:r w:rsidRPr="00E302FE">
        <w:rPr>
          <w:sz w:val="24"/>
          <w:szCs w:val="24"/>
        </w:rPr>
        <w:t>кой долей вероятности может измениться в ближайшие годы.</w:t>
      </w:r>
    </w:p>
    <w:p w:rsidR="00E302FE" w:rsidRPr="00E302FE" w:rsidRDefault="00E302FE" w:rsidP="00E302FE">
      <w:pPr>
        <w:ind w:firstLine="709"/>
        <w:jc w:val="both"/>
        <w:rPr>
          <w:sz w:val="24"/>
          <w:szCs w:val="24"/>
        </w:rPr>
      </w:pPr>
      <w:r w:rsidRPr="00E302FE">
        <w:rPr>
          <w:sz w:val="24"/>
          <w:szCs w:val="24"/>
        </w:rPr>
        <w:t>Клиент понимает и принимает на себя правовой риск, связанный с использованием индивидуальной инвестиционной рекомендации, предоставленной Банком, содержащей и</w:t>
      </w:r>
      <w:r w:rsidRPr="00E302FE">
        <w:rPr>
          <w:sz w:val="24"/>
          <w:szCs w:val="24"/>
        </w:rPr>
        <w:t>н</w:t>
      </w:r>
      <w:r w:rsidRPr="00E302FE">
        <w:rPr>
          <w:sz w:val="24"/>
          <w:szCs w:val="24"/>
        </w:rPr>
        <w:t>формацию о сделке с ценной бумагой (финансовым инструментом), в отношении которой Клиент включен в список инсайдеров соответствующего юридического лица. Клиент перед принятием инвестиционного решения на основе индивидуальной инвестиционной рекоме</w:t>
      </w:r>
      <w:r w:rsidRPr="00E302FE">
        <w:rPr>
          <w:sz w:val="24"/>
          <w:szCs w:val="24"/>
        </w:rPr>
        <w:t>н</w:t>
      </w:r>
      <w:r w:rsidRPr="00E302FE">
        <w:rPr>
          <w:sz w:val="24"/>
          <w:szCs w:val="24"/>
        </w:rPr>
        <w:t>дации - направлением Банку Поручения на совершение сделки с ценной бумагой (финанс</w:t>
      </w:r>
      <w:r w:rsidRPr="00E302FE">
        <w:rPr>
          <w:sz w:val="24"/>
          <w:szCs w:val="24"/>
        </w:rPr>
        <w:t>о</w:t>
      </w:r>
      <w:r w:rsidRPr="00E302FE">
        <w:rPr>
          <w:sz w:val="24"/>
          <w:szCs w:val="24"/>
        </w:rPr>
        <w:t>вым инструментом), в отношении которой Клиент включен в список инсайдеров соответс</w:t>
      </w:r>
      <w:r w:rsidRPr="00E302FE">
        <w:rPr>
          <w:sz w:val="24"/>
          <w:szCs w:val="24"/>
        </w:rPr>
        <w:t>т</w:t>
      </w:r>
      <w:r w:rsidRPr="00E302FE">
        <w:rPr>
          <w:sz w:val="24"/>
          <w:szCs w:val="24"/>
        </w:rPr>
        <w:t>вующего юридического лица, обязан запросить информацию (получить разрешение) на с</w:t>
      </w:r>
      <w:r w:rsidRPr="00E302FE">
        <w:rPr>
          <w:sz w:val="24"/>
          <w:szCs w:val="24"/>
        </w:rPr>
        <w:t>о</w:t>
      </w:r>
      <w:r w:rsidRPr="00E302FE">
        <w:rPr>
          <w:sz w:val="24"/>
          <w:szCs w:val="24"/>
        </w:rPr>
        <w:t>вершение указанной сделки в порядке, определенном соответствующим юридическим л</w:t>
      </w:r>
      <w:r w:rsidRPr="00E302FE">
        <w:rPr>
          <w:sz w:val="24"/>
          <w:szCs w:val="24"/>
        </w:rPr>
        <w:t>и</w:t>
      </w:r>
      <w:r w:rsidRPr="00E302FE">
        <w:rPr>
          <w:sz w:val="24"/>
          <w:szCs w:val="24"/>
        </w:rPr>
        <w:t>цом.</w:t>
      </w:r>
    </w:p>
    <w:p w:rsidR="00E302FE" w:rsidRPr="00E302FE" w:rsidRDefault="00E302FE" w:rsidP="00E302FE">
      <w:pPr>
        <w:ind w:firstLine="709"/>
        <w:jc w:val="both"/>
        <w:rPr>
          <w:sz w:val="24"/>
          <w:szCs w:val="24"/>
        </w:rPr>
      </w:pPr>
      <w:r w:rsidRPr="00E302FE">
        <w:rPr>
          <w:sz w:val="24"/>
          <w:szCs w:val="24"/>
        </w:rPr>
        <w:t>Клиент обязан осуществлять самостоятельную оценку возможности исполнить пр</w:t>
      </w:r>
      <w:r w:rsidRPr="00E302FE">
        <w:rPr>
          <w:sz w:val="24"/>
          <w:szCs w:val="24"/>
        </w:rPr>
        <w:t>е</w:t>
      </w:r>
      <w:r w:rsidRPr="00E302FE">
        <w:rPr>
          <w:sz w:val="24"/>
          <w:szCs w:val="24"/>
        </w:rPr>
        <w:t>доставленную Банком индивидуальную инвестиционную рекомендацию с учетом устано</w:t>
      </w:r>
      <w:r w:rsidRPr="00E302FE">
        <w:rPr>
          <w:sz w:val="24"/>
          <w:szCs w:val="24"/>
        </w:rPr>
        <w:t>в</w:t>
      </w:r>
      <w:r w:rsidRPr="00E302FE">
        <w:rPr>
          <w:sz w:val="24"/>
          <w:szCs w:val="24"/>
        </w:rPr>
        <w:t>ленных Клиенту запретов и ограничений, в том числе как инсайдеру, предусмотренных Ф</w:t>
      </w:r>
      <w:r w:rsidRPr="00E302FE">
        <w:rPr>
          <w:sz w:val="24"/>
          <w:szCs w:val="24"/>
        </w:rPr>
        <w:t>е</w:t>
      </w:r>
      <w:r w:rsidRPr="00E302FE">
        <w:rPr>
          <w:sz w:val="24"/>
          <w:szCs w:val="24"/>
        </w:rPr>
        <w:t xml:space="preserve">деральным законом от 27 июля </w:t>
      </w:r>
      <w:smartTag w:uri="urn:schemas-microsoft-com:office:smarttags" w:element="metricconverter">
        <w:smartTagPr>
          <w:attr w:name="ProductID" w:val="2012 г"/>
        </w:smartTagPr>
        <w:r w:rsidRPr="00E302FE">
          <w:rPr>
            <w:sz w:val="24"/>
            <w:szCs w:val="24"/>
          </w:rPr>
          <w:t>2010 г</w:t>
        </w:r>
      </w:smartTag>
      <w:r w:rsidRPr="00E302FE">
        <w:rPr>
          <w:sz w:val="24"/>
          <w:szCs w:val="24"/>
        </w:rPr>
        <w:t>. № 224-ФЗ «О противодействии неправомерному и</w:t>
      </w:r>
      <w:r w:rsidRPr="00E302FE">
        <w:rPr>
          <w:sz w:val="24"/>
          <w:szCs w:val="24"/>
        </w:rPr>
        <w:t>с</w:t>
      </w:r>
      <w:r w:rsidRPr="00E302FE">
        <w:rPr>
          <w:sz w:val="24"/>
          <w:szCs w:val="24"/>
        </w:rPr>
        <w:t>пользованию инсайдерской информации и манипулированию рынком и о внесении измен</w:t>
      </w:r>
      <w:r w:rsidRPr="00E302FE">
        <w:rPr>
          <w:sz w:val="24"/>
          <w:szCs w:val="24"/>
        </w:rPr>
        <w:t>е</w:t>
      </w:r>
      <w:r w:rsidRPr="00E302FE">
        <w:rPr>
          <w:sz w:val="24"/>
          <w:szCs w:val="24"/>
        </w:rPr>
        <w:t>ний в отдельные законодательные акты Российской Федерации», правилами внутреннего контроля по предотвращению, выявлению и пресечению неправомерного использования и</w:t>
      </w:r>
      <w:r w:rsidRPr="00E302FE">
        <w:rPr>
          <w:sz w:val="24"/>
          <w:szCs w:val="24"/>
        </w:rPr>
        <w:t>н</w:t>
      </w:r>
      <w:r w:rsidRPr="00E302FE">
        <w:rPr>
          <w:sz w:val="24"/>
          <w:szCs w:val="24"/>
        </w:rPr>
        <w:t>сайдерской информации и (или) манипулирования рынком соответствующего юридического лица, лицом, включенным в список инсайдеров которого является Клиент (порядком доступа к инсайдерской информации, правилами охраны ее конфиденциальности и контроля за с</w:t>
      </w:r>
      <w:r w:rsidRPr="00E302FE">
        <w:rPr>
          <w:sz w:val="24"/>
          <w:szCs w:val="24"/>
        </w:rPr>
        <w:t>о</w:t>
      </w:r>
      <w:r w:rsidRPr="00E302FE">
        <w:rPr>
          <w:sz w:val="24"/>
          <w:szCs w:val="24"/>
        </w:rPr>
        <w:t>блюдением вышеуказанного Федерального закона и принятых в соответствии с ним норм</w:t>
      </w:r>
      <w:r w:rsidRPr="00E302FE">
        <w:rPr>
          <w:sz w:val="24"/>
          <w:szCs w:val="24"/>
        </w:rPr>
        <w:t>а</w:t>
      </w:r>
      <w:r w:rsidRPr="00E302FE">
        <w:rPr>
          <w:sz w:val="24"/>
          <w:szCs w:val="24"/>
        </w:rPr>
        <w:t>тивных актов, если указанные документы (документ) не включены (не включен) в состав правил внутреннего контроля по предотвращению, выявлению и пресечению неправомерн</w:t>
      </w:r>
      <w:r w:rsidRPr="00E302FE">
        <w:rPr>
          <w:sz w:val="24"/>
          <w:szCs w:val="24"/>
        </w:rPr>
        <w:t>о</w:t>
      </w:r>
      <w:r w:rsidRPr="00E302FE">
        <w:rPr>
          <w:sz w:val="24"/>
          <w:szCs w:val="24"/>
        </w:rPr>
        <w:t>го использования инсайдерской информации и (или) манипулирования рынком соответс</w:t>
      </w:r>
      <w:r w:rsidRPr="00E302FE">
        <w:rPr>
          <w:sz w:val="24"/>
          <w:szCs w:val="24"/>
        </w:rPr>
        <w:t>т</w:t>
      </w:r>
      <w:r w:rsidRPr="00E302FE">
        <w:rPr>
          <w:sz w:val="24"/>
          <w:szCs w:val="24"/>
        </w:rPr>
        <w:t>вующего юридического лица), а также условиями совершения операций с финансовыми и</w:t>
      </w:r>
      <w:r w:rsidRPr="00E302FE">
        <w:rPr>
          <w:sz w:val="24"/>
          <w:szCs w:val="24"/>
        </w:rPr>
        <w:t>н</w:t>
      </w:r>
      <w:r w:rsidRPr="00E302FE">
        <w:rPr>
          <w:sz w:val="24"/>
          <w:szCs w:val="24"/>
        </w:rPr>
        <w:t>струментами Клиентом, включенным в список инсайдеров соответствующего юридического лица.</w:t>
      </w:r>
    </w:p>
    <w:p w:rsidR="009E3B37" w:rsidRDefault="009E3B37" w:rsidP="00E302FE">
      <w:pPr>
        <w:ind w:firstLine="709"/>
        <w:jc w:val="both"/>
        <w:rPr>
          <w:b/>
          <w:i/>
          <w:sz w:val="24"/>
          <w:szCs w:val="24"/>
        </w:rPr>
      </w:pPr>
    </w:p>
    <w:p w:rsidR="00E302FE" w:rsidRPr="00E302FE" w:rsidRDefault="00E302FE" w:rsidP="00E302FE">
      <w:pPr>
        <w:ind w:firstLine="709"/>
        <w:jc w:val="both"/>
        <w:rPr>
          <w:sz w:val="24"/>
          <w:szCs w:val="24"/>
        </w:rPr>
      </w:pPr>
      <w:r w:rsidRPr="00E302FE">
        <w:rPr>
          <w:b/>
          <w:i/>
          <w:sz w:val="24"/>
          <w:szCs w:val="24"/>
        </w:rPr>
        <w:t>Риск информационной безопасности</w:t>
      </w:r>
    </w:p>
    <w:p w:rsidR="00E302FE" w:rsidRPr="00E302FE" w:rsidRDefault="00E302FE" w:rsidP="00E302FE">
      <w:pPr>
        <w:ind w:firstLine="709"/>
        <w:jc w:val="both"/>
        <w:rPr>
          <w:sz w:val="24"/>
          <w:szCs w:val="24"/>
        </w:rPr>
      </w:pPr>
      <w:r w:rsidRPr="00E302FE">
        <w:rPr>
          <w:sz w:val="24"/>
          <w:szCs w:val="24"/>
        </w:rPr>
        <w:t>Риск информационной безопасности - вид операционного риска, представляющий с</w:t>
      </w:r>
      <w:r w:rsidRPr="00E302FE">
        <w:rPr>
          <w:sz w:val="24"/>
          <w:szCs w:val="24"/>
        </w:rPr>
        <w:t>о</w:t>
      </w:r>
      <w:r w:rsidRPr="00E302FE">
        <w:rPr>
          <w:sz w:val="24"/>
          <w:szCs w:val="24"/>
        </w:rPr>
        <w:t>бой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w:t>
      </w:r>
      <w:r w:rsidRPr="00E302FE">
        <w:rPr>
          <w:sz w:val="24"/>
          <w:szCs w:val="24"/>
        </w:rPr>
        <w:t>и</w:t>
      </w:r>
      <w:r w:rsidRPr="00E302FE">
        <w:rPr>
          <w:sz w:val="24"/>
          <w:szCs w:val="24"/>
        </w:rPr>
        <w:t>ческих и других мероприятий, недостатками прикладного программного обеспечения авт</w:t>
      </w:r>
      <w:r w:rsidRPr="00E302FE">
        <w:rPr>
          <w:sz w:val="24"/>
          <w:szCs w:val="24"/>
        </w:rPr>
        <w:t>о</w:t>
      </w:r>
      <w:r w:rsidRPr="00E302FE">
        <w:rPr>
          <w:sz w:val="24"/>
          <w:szCs w:val="24"/>
        </w:rPr>
        <w:t>матизированных систем и приложений, а также несоответствием указанных процессов де</w:t>
      </w:r>
      <w:r w:rsidRPr="00E302FE">
        <w:rPr>
          <w:sz w:val="24"/>
          <w:szCs w:val="24"/>
        </w:rPr>
        <w:t>я</w:t>
      </w:r>
      <w:r w:rsidRPr="00E302FE">
        <w:rPr>
          <w:sz w:val="24"/>
          <w:szCs w:val="24"/>
        </w:rPr>
        <w:t>тельности Банка.</w:t>
      </w:r>
    </w:p>
    <w:p w:rsidR="00E302FE" w:rsidRDefault="00E302FE" w:rsidP="00E302FE">
      <w:pPr>
        <w:ind w:firstLine="709"/>
        <w:jc w:val="both"/>
        <w:rPr>
          <w:sz w:val="24"/>
          <w:szCs w:val="24"/>
        </w:rPr>
      </w:pPr>
      <w:r w:rsidRPr="00E302FE">
        <w:rPr>
          <w:sz w:val="24"/>
          <w:szCs w:val="24"/>
        </w:rPr>
        <w:t>Риск информационной безопасности включает в себя:</w:t>
      </w:r>
    </w:p>
    <w:tbl>
      <w:tblPr>
        <w:tblW w:w="9747" w:type="dxa"/>
        <w:tblLook w:val="04A0"/>
      </w:tblPr>
      <w:tblGrid>
        <w:gridCol w:w="817"/>
        <w:gridCol w:w="296"/>
        <w:gridCol w:w="8634"/>
      </w:tblGrid>
      <w:tr w:rsidR="00031059" w:rsidRPr="00072483" w:rsidTr="00866CEE">
        <w:tc>
          <w:tcPr>
            <w:tcW w:w="817" w:type="dxa"/>
          </w:tcPr>
          <w:p w:rsidR="00031059" w:rsidRPr="00072483" w:rsidRDefault="00031059" w:rsidP="00866CEE">
            <w:pPr>
              <w:pStyle w:val="Default"/>
              <w:rPr>
                <w:rFonts w:ascii="Times New Roman" w:hAnsi="Times New Roman" w:cs="Times New Roman"/>
                <w:bCs/>
              </w:rPr>
            </w:pPr>
          </w:p>
        </w:tc>
        <w:tc>
          <w:tcPr>
            <w:tcW w:w="296" w:type="dxa"/>
          </w:tcPr>
          <w:p w:rsidR="00031059" w:rsidRPr="00072483" w:rsidRDefault="00031059"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031059" w:rsidRPr="00072483" w:rsidRDefault="00031059" w:rsidP="00866CEE">
            <w:pPr>
              <w:jc w:val="both"/>
              <w:rPr>
                <w:bCs/>
                <w:sz w:val="24"/>
                <w:szCs w:val="24"/>
              </w:rPr>
            </w:pPr>
            <w:r w:rsidRPr="00E302FE">
              <w:rPr>
                <w:sz w:val="24"/>
                <w:szCs w:val="24"/>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w:t>
            </w:r>
            <w:r w:rsidRPr="00E302FE">
              <w:rPr>
                <w:sz w:val="24"/>
                <w:szCs w:val="24"/>
              </w:rPr>
              <w:t>а</w:t>
            </w:r>
            <w:r w:rsidRPr="00E302FE">
              <w:rPr>
                <w:sz w:val="24"/>
                <w:szCs w:val="24"/>
              </w:rPr>
              <w:t>рушения и (или) прекращения их функционирования и (или) создания угрозы безопасности информации, подготавливаемой, обрабатываемой и хранимой т</w:t>
            </w:r>
            <w:r w:rsidRPr="00E302FE">
              <w:rPr>
                <w:sz w:val="24"/>
                <w:szCs w:val="24"/>
              </w:rPr>
              <w:t>а</w:t>
            </w:r>
            <w:r w:rsidRPr="00E302FE">
              <w:rPr>
                <w:sz w:val="24"/>
                <w:szCs w:val="24"/>
              </w:rPr>
              <w:t>кими объектами, а также в целях несанкционированного присвоения, хищения, изменения, удаления данных и иной информации (структуры данных, параме</w:t>
            </w:r>
            <w:r w:rsidRPr="00E302FE">
              <w:rPr>
                <w:sz w:val="24"/>
                <w:szCs w:val="24"/>
              </w:rPr>
              <w:t>т</w:t>
            </w:r>
            <w:r w:rsidRPr="00E302FE">
              <w:rPr>
                <w:sz w:val="24"/>
                <w:szCs w:val="24"/>
              </w:rPr>
              <w:t>ров и характеристик систем, программного кода) и нарушения режима доступа (киберриск);</w:t>
            </w:r>
          </w:p>
        </w:tc>
      </w:tr>
      <w:tr w:rsidR="00031059" w:rsidRPr="00292985" w:rsidTr="00866CEE">
        <w:tc>
          <w:tcPr>
            <w:tcW w:w="817" w:type="dxa"/>
          </w:tcPr>
          <w:p w:rsidR="00031059" w:rsidRPr="00072483" w:rsidRDefault="00031059" w:rsidP="00866CEE">
            <w:pPr>
              <w:pStyle w:val="Default"/>
              <w:rPr>
                <w:rFonts w:ascii="Times New Roman" w:hAnsi="Times New Roman" w:cs="Times New Roman"/>
                <w:bCs/>
              </w:rPr>
            </w:pPr>
          </w:p>
        </w:tc>
        <w:tc>
          <w:tcPr>
            <w:tcW w:w="296" w:type="dxa"/>
          </w:tcPr>
          <w:p w:rsidR="00031059" w:rsidRPr="00072483" w:rsidRDefault="00031059" w:rsidP="00866CEE">
            <w:pPr>
              <w:pStyle w:val="Default"/>
              <w:rPr>
                <w:rFonts w:ascii="Times New Roman" w:hAnsi="Times New Roman" w:cs="Times New Roman"/>
                <w:bCs/>
              </w:rPr>
            </w:pPr>
            <w:r w:rsidRPr="00072483">
              <w:rPr>
                <w:rFonts w:ascii="Times New Roman" w:hAnsi="Times New Roman" w:cs="Times New Roman"/>
                <w:bCs/>
              </w:rPr>
              <w:t>-</w:t>
            </w:r>
          </w:p>
        </w:tc>
        <w:tc>
          <w:tcPr>
            <w:tcW w:w="8634" w:type="dxa"/>
          </w:tcPr>
          <w:p w:rsidR="00031059" w:rsidRPr="00292985" w:rsidRDefault="00031059" w:rsidP="00866CEE">
            <w:pPr>
              <w:jc w:val="both"/>
              <w:rPr>
                <w:bCs/>
                <w:sz w:val="24"/>
                <w:szCs w:val="24"/>
              </w:rPr>
            </w:pPr>
            <w:r w:rsidRPr="00E302FE">
              <w:rPr>
                <w:sz w:val="24"/>
                <w:szCs w:val="24"/>
              </w:rPr>
              <w:t>другие виды риска информационной безопасности, связанных с обработкой (хр</w:t>
            </w:r>
            <w:r w:rsidRPr="00E302FE">
              <w:rPr>
                <w:sz w:val="24"/>
                <w:szCs w:val="24"/>
              </w:rPr>
              <w:t>а</w:t>
            </w:r>
            <w:r w:rsidRPr="00E302FE">
              <w:rPr>
                <w:sz w:val="24"/>
                <w:szCs w:val="24"/>
              </w:rPr>
              <w:t>нением, уничтожением) информации без использования объектов информацио</w:t>
            </w:r>
            <w:r w:rsidRPr="00E302FE">
              <w:rPr>
                <w:sz w:val="24"/>
                <w:szCs w:val="24"/>
              </w:rPr>
              <w:t>н</w:t>
            </w:r>
            <w:r w:rsidRPr="00E302FE">
              <w:rPr>
                <w:sz w:val="24"/>
                <w:szCs w:val="24"/>
              </w:rPr>
              <w:t>ной инфраструктуры.</w:t>
            </w:r>
          </w:p>
        </w:tc>
      </w:tr>
    </w:tbl>
    <w:p w:rsidR="00031059" w:rsidRDefault="00031059" w:rsidP="00E302FE">
      <w:pPr>
        <w:ind w:firstLine="709"/>
        <w:jc w:val="both"/>
        <w:rPr>
          <w:b/>
          <w:sz w:val="24"/>
          <w:szCs w:val="24"/>
        </w:rPr>
      </w:pPr>
    </w:p>
    <w:p w:rsidR="00E302FE" w:rsidRPr="00E302FE" w:rsidRDefault="00E302FE" w:rsidP="00E302FE">
      <w:pPr>
        <w:ind w:firstLine="709"/>
        <w:jc w:val="both"/>
        <w:rPr>
          <w:b/>
          <w:sz w:val="24"/>
          <w:szCs w:val="24"/>
        </w:rPr>
      </w:pPr>
      <w:r w:rsidRPr="00E302FE">
        <w:rPr>
          <w:b/>
          <w:sz w:val="24"/>
          <w:szCs w:val="24"/>
        </w:rPr>
        <w:lastRenderedPageBreak/>
        <w:t xml:space="preserve">Настоящая </w:t>
      </w:r>
      <w:r w:rsidR="009E3B37">
        <w:rPr>
          <w:b/>
          <w:sz w:val="24"/>
          <w:szCs w:val="24"/>
        </w:rPr>
        <w:t>д</w:t>
      </w:r>
      <w:r w:rsidRPr="00E302FE">
        <w:rPr>
          <w:b/>
          <w:sz w:val="24"/>
          <w:szCs w:val="24"/>
        </w:rPr>
        <w:t>екларация не раскрывает все потенциальные риски и иные аспе</w:t>
      </w:r>
      <w:r w:rsidRPr="00E302FE">
        <w:rPr>
          <w:b/>
          <w:sz w:val="24"/>
          <w:szCs w:val="24"/>
        </w:rPr>
        <w:t>к</w:t>
      </w:r>
      <w:r w:rsidRPr="00E302FE">
        <w:rPr>
          <w:b/>
          <w:sz w:val="24"/>
          <w:szCs w:val="24"/>
        </w:rPr>
        <w:t>ты, связанные с операциями с ценными бумагами и (или) иными финансовыми инс</w:t>
      </w:r>
      <w:r w:rsidRPr="00E302FE">
        <w:rPr>
          <w:b/>
          <w:sz w:val="24"/>
          <w:szCs w:val="24"/>
        </w:rPr>
        <w:t>т</w:t>
      </w:r>
      <w:r w:rsidRPr="00E302FE">
        <w:rPr>
          <w:b/>
          <w:sz w:val="24"/>
          <w:szCs w:val="24"/>
        </w:rPr>
        <w:t>рументами при использовании индивидуальных инвестиционных рекомендаций.</w:t>
      </w:r>
    </w:p>
    <w:p w:rsidR="00E302FE" w:rsidRPr="00E302FE" w:rsidRDefault="00E302FE" w:rsidP="00E302FE">
      <w:pPr>
        <w:ind w:firstLine="709"/>
        <w:jc w:val="both"/>
        <w:rPr>
          <w:b/>
          <w:sz w:val="24"/>
          <w:szCs w:val="24"/>
        </w:rPr>
      </w:pPr>
      <w:r w:rsidRPr="00E302FE">
        <w:rPr>
          <w:b/>
          <w:sz w:val="24"/>
          <w:szCs w:val="24"/>
        </w:rPr>
        <w:t>При использовании Клиентом инвестиционного консультирования в полной м</w:t>
      </w:r>
      <w:r w:rsidRPr="00E302FE">
        <w:rPr>
          <w:b/>
          <w:sz w:val="24"/>
          <w:szCs w:val="24"/>
        </w:rPr>
        <w:t>е</w:t>
      </w:r>
      <w:r w:rsidRPr="00E302FE">
        <w:rPr>
          <w:b/>
          <w:sz w:val="24"/>
          <w:szCs w:val="24"/>
        </w:rPr>
        <w:t>ре сохраняются общие риски, связанные с инвестированием на финансовом рынке.</w:t>
      </w:r>
    </w:p>
    <w:p w:rsidR="00E302FE" w:rsidRPr="00E302FE" w:rsidRDefault="00E302FE" w:rsidP="00E302FE">
      <w:pPr>
        <w:ind w:firstLine="709"/>
        <w:jc w:val="both"/>
        <w:rPr>
          <w:b/>
          <w:sz w:val="24"/>
          <w:szCs w:val="24"/>
        </w:rPr>
      </w:pPr>
      <w:r w:rsidRPr="00E302FE">
        <w:rPr>
          <w:b/>
          <w:sz w:val="24"/>
          <w:szCs w:val="24"/>
        </w:rPr>
        <w:t>Учитывая вышеизложенное, Клиенту следует внимательно рассмотреть вопрос о том, являются ли риски, возникающие в связи с инвестиционным консультированием и исполнением индивидуальных инвестиционных рекомендаций при проведении оп</w:t>
      </w:r>
      <w:r w:rsidRPr="00E302FE">
        <w:rPr>
          <w:b/>
          <w:sz w:val="24"/>
          <w:szCs w:val="24"/>
        </w:rPr>
        <w:t>е</w:t>
      </w:r>
      <w:r w:rsidRPr="00E302FE">
        <w:rPr>
          <w:b/>
          <w:sz w:val="24"/>
          <w:szCs w:val="24"/>
        </w:rPr>
        <w:t>раций на финансовом рынке, приемлемыми для Клиента с учетом его инвестиционных целей и ф</w:t>
      </w:r>
      <w:r w:rsidR="004468B0">
        <w:rPr>
          <w:b/>
          <w:sz w:val="24"/>
          <w:szCs w:val="24"/>
        </w:rPr>
        <w:t>инансовых возможностей. Данная д</w:t>
      </w:r>
      <w:r w:rsidRPr="00E302FE">
        <w:rPr>
          <w:b/>
          <w:sz w:val="24"/>
          <w:szCs w:val="24"/>
        </w:rPr>
        <w:t>екларация не имеет своей целью заст</w:t>
      </w:r>
      <w:r w:rsidRPr="00E302FE">
        <w:rPr>
          <w:b/>
          <w:sz w:val="24"/>
          <w:szCs w:val="24"/>
        </w:rPr>
        <w:t>а</w:t>
      </w:r>
      <w:r w:rsidRPr="00E302FE">
        <w:rPr>
          <w:b/>
          <w:sz w:val="24"/>
          <w:szCs w:val="24"/>
        </w:rPr>
        <w:t>вить Клиента отказаться от заключения договора об инвестиционном консультиров</w:t>
      </w:r>
      <w:r w:rsidRPr="00E302FE">
        <w:rPr>
          <w:b/>
          <w:sz w:val="24"/>
          <w:szCs w:val="24"/>
        </w:rPr>
        <w:t>а</w:t>
      </w:r>
      <w:r w:rsidRPr="00E302FE">
        <w:rPr>
          <w:b/>
          <w:sz w:val="24"/>
          <w:szCs w:val="24"/>
        </w:rPr>
        <w:t>нии, а призвана помочь ему оценить риски и ответственно подойти к решению вопроса о выборе своей инвестиционной стратегии и условий договора с Банком.</w:t>
      </w:r>
    </w:p>
    <w:p w:rsidR="00E302FE" w:rsidRPr="00E302FE" w:rsidRDefault="00E302FE" w:rsidP="00E302FE">
      <w:pPr>
        <w:ind w:firstLine="709"/>
        <w:jc w:val="both"/>
        <w:rPr>
          <w:b/>
          <w:sz w:val="24"/>
          <w:szCs w:val="24"/>
        </w:rPr>
      </w:pPr>
      <w:r w:rsidRPr="00E302FE">
        <w:rPr>
          <w:b/>
          <w:sz w:val="24"/>
          <w:szCs w:val="24"/>
        </w:rPr>
        <w:t xml:space="preserve">Клиенту следует убедиться, что ему понятна настоящая </w:t>
      </w:r>
      <w:r w:rsidR="004468B0">
        <w:rPr>
          <w:b/>
          <w:sz w:val="24"/>
          <w:szCs w:val="24"/>
        </w:rPr>
        <w:t>д</w:t>
      </w:r>
      <w:r w:rsidRPr="00E302FE">
        <w:rPr>
          <w:b/>
          <w:sz w:val="24"/>
          <w:szCs w:val="24"/>
        </w:rPr>
        <w:t>екларация, и при нео</w:t>
      </w:r>
      <w:r w:rsidRPr="00E302FE">
        <w:rPr>
          <w:b/>
          <w:sz w:val="24"/>
          <w:szCs w:val="24"/>
        </w:rPr>
        <w:t>б</w:t>
      </w:r>
      <w:r w:rsidRPr="00E302FE">
        <w:rPr>
          <w:b/>
          <w:sz w:val="24"/>
          <w:szCs w:val="24"/>
        </w:rPr>
        <w:t>ходимости получить разъяснения у Банка или независимого консультанта, специал</w:t>
      </w:r>
      <w:r w:rsidRPr="00E302FE">
        <w:rPr>
          <w:b/>
          <w:sz w:val="24"/>
          <w:szCs w:val="24"/>
        </w:rPr>
        <w:t>и</w:t>
      </w:r>
      <w:r w:rsidRPr="00E302FE">
        <w:rPr>
          <w:b/>
          <w:sz w:val="24"/>
          <w:szCs w:val="24"/>
        </w:rPr>
        <w:t>зирующегося на соответствующих вопросах.</w:t>
      </w:r>
    </w:p>
    <w:p w:rsidR="00E302FE" w:rsidRPr="00E302FE" w:rsidRDefault="00E302FE" w:rsidP="00E302FE">
      <w:pPr>
        <w:ind w:firstLine="709"/>
        <w:jc w:val="both"/>
        <w:rPr>
          <w:sz w:val="24"/>
          <w:szCs w:val="24"/>
        </w:rPr>
      </w:pPr>
    </w:p>
    <w:p w:rsidR="00E302FE" w:rsidRPr="00E302FE" w:rsidRDefault="00E302FE" w:rsidP="00C77F6A">
      <w:pPr>
        <w:ind w:firstLine="709"/>
        <w:jc w:val="center"/>
        <w:rPr>
          <w:b/>
          <w:sz w:val="24"/>
          <w:szCs w:val="24"/>
        </w:rPr>
      </w:pPr>
      <w:r w:rsidRPr="00E302FE">
        <w:rPr>
          <w:b/>
          <w:sz w:val="24"/>
          <w:szCs w:val="24"/>
        </w:rPr>
        <w:t>8. ДЕКЛАРАЦИЯ О РИСКАХ,</w:t>
      </w:r>
    </w:p>
    <w:p w:rsidR="00E302FE" w:rsidRPr="00E302FE" w:rsidRDefault="00E302FE" w:rsidP="00C77F6A">
      <w:pPr>
        <w:ind w:firstLine="709"/>
        <w:jc w:val="center"/>
        <w:rPr>
          <w:b/>
          <w:sz w:val="24"/>
          <w:szCs w:val="24"/>
        </w:rPr>
      </w:pPr>
      <w:r w:rsidRPr="00E302FE">
        <w:rPr>
          <w:b/>
          <w:sz w:val="24"/>
          <w:szCs w:val="24"/>
        </w:rPr>
        <w:t>СВЯЗАННЫХ С ИСПОЛЬЗОВАНИЕМ ПРОГРАММ</w:t>
      </w:r>
    </w:p>
    <w:p w:rsidR="00866CEE" w:rsidRDefault="00E302FE" w:rsidP="00C77F6A">
      <w:pPr>
        <w:ind w:firstLine="709"/>
        <w:jc w:val="center"/>
        <w:rPr>
          <w:b/>
          <w:sz w:val="24"/>
          <w:szCs w:val="24"/>
        </w:rPr>
      </w:pPr>
      <w:r w:rsidRPr="00E302FE">
        <w:rPr>
          <w:b/>
          <w:sz w:val="24"/>
          <w:szCs w:val="24"/>
        </w:rPr>
        <w:t>ДЛЯ ЭЛ</w:t>
      </w:r>
      <w:r w:rsidR="00866CEE">
        <w:rPr>
          <w:b/>
          <w:sz w:val="24"/>
          <w:szCs w:val="24"/>
        </w:rPr>
        <w:t>ЕКТРОННЫХ ВЫЧИСЛИТЕЛЬНЫХ МАШИН,</w:t>
      </w:r>
    </w:p>
    <w:p w:rsidR="00866CEE" w:rsidRDefault="00E302FE" w:rsidP="00C77F6A">
      <w:pPr>
        <w:ind w:firstLine="709"/>
        <w:jc w:val="center"/>
        <w:rPr>
          <w:b/>
          <w:sz w:val="24"/>
          <w:szCs w:val="24"/>
        </w:rPr>
      </w:pPr>
      <w:r w:rsidRPr="00E302FE">
        <w:rPr>
          <w:b/>
          <w:sz w:val="24"/>
          <w:szCs w:val="24"/>
        </w:rPr>
        <w:t>ПОСРЕДСТВОМ КОТОРЫХ</w:t>
      </w:r>
      <w:r w:rsidR="00866CEE">
        <w:rPr>
          <w:b/>
          <w:sz w:val="24"/>
          <w:szCs w:val="24"/>
        </w:rPr>
        <w:t xml:space="preserve"> </w:t>
      </w:r>
      <w:r w:rsidRPr="00E302FE">
        <w:rPr>
          <w:b/>
          <w:sz w:val="24"/>
          <w:szCs w:val="24"/>
        </w:rPr>
        <w:t>ПРЕДОСТАВЛЯЮТСЯ ИНДИВИДУАЛЬНЫЕ</w:t>
      </w:r>
    </w:p>
    <w:p w:rsidR="00E302FE" w:rsidRPr="00E302FE" w:rsidRDefault="00E302FE" w:rsidP="00C77F6A">
      <w:pPr>
        <w:ind w:firstLine="709"/>
        <w:jc w:val="center"/>
        <w:rPr>
          <w:b/>
          <w:sz w:val="24"/>
          <w:szCs w:val="24"/>
        </w:rPr>
      </w:pPr>
      <w:r w:rsidRPr="00E302FE">
        <w:rPr>
          <w:b/>
          <w:sz w:val="24"/>
          <w:szCs w:val="24"/>
        </w:rPr>
        <w:t>ИНВЕСТИЦИОННЫЕ РЕКОМЕНДАЦИИ</w:t>
      </w:r>
    </w:p>
    <w:p w:rsidR="00E302FE" w:rsidRPr="00C77F6A" w:rsidRDefault="00E302FE" w:rsidP="00E302FE">
      <w:pPr>
        <w:ind w:firstLine="709"/>
        <w:jc w:val="both"/>
        <w:rPr>
          <w:sz w:val="24"/>
          <w:szCs w:val="24"/>
        </w:rPr>
      </w:pPr>
    </w:p>
    <w:p w:rsidR="00E302FE" w:rsidRPr="00E302FE" w:rsidRDefault="00E302FE" w:rsidP="00E302FE">
      <w:pPr>
        <w:ind w:firstLine="709"/>
        <w:jc w:val="both"/>
        <w:rPr>
          <w:b/>
          <w:sz w:val="24"/>
          <w:szCs w:val="24"/>
        </w:rPr>
      </w:pPr>
      <w:r w:rsidRPr="00E302FE">
        <w:rPr>
          <w:b/>
          <w:sz w:val="24"/>
          <w:szCs w:val="24"/>
        </w:rPr>
        <w:t xml:space="preserve">Целью настоящей </w:t>
      </w:r>
      <w:r w:rsidR="00866CEE">
        <w:rPr>
          <w:b/>
          <w:sz w:val="24"/>
          <w:szCs w:val="24"/>
        </w:rPr>
        <w:t>д</w:t>
      </w:r>
      <w:r w:rsidRPr="00E302FE">
        <w:rPr>
          <w:b/>
          <w:sz w:val="24"/>
          <w:szCs w:val="24"/>
        </w:rPr>
        <w:t>екларации является предоставление Клиенту информации об основных рисках, связанных с использованием программ для электронных вычисл</w:t>
      </w:r>
      <w:r w:rsidRPr="00E302FE">
        <w:rPr>
          <w:b/>
          <w:sz w:val="24"/>
          <w:szCs w:val="24"/>
        </w:rPr>
        <w:t>и</w:t>
      </w:r>
      <w:r w:rsidRPr="00E302FE">
        <w:rPr>
          <w:b/>
          <w:sz w:val="24"/>
          <w:szCs w:val="24"/>
        </w:rPr>
        <w:t>тельных машин, посредством которых предоставляются индивидуальные инвестиц</w:t>
      </w:r>
      <w:r w:rsidRPr="00E302FE">
        <w:rPr>
          <w:b/>
          <w:sz w:val="24"/>
          <w:szCs w:val="24"/>
        </w:rPr>
        <w:t>и</w:t>
      </w:r>
      <w:r w:rsidRPr="00E302FE">
        <w:rPr>
          <w:b/>
          <w:sz w:val="24"/>
          <w:szCs w:val="24"/>
        </w:rPr>
        <w:t>онные рекомендации, включая программы (в том числе программные комплексы), к</w:t>
      </w:r>
      <w:r w:rsidRPr="00E302FE">
        <w:rPr>
          <w:b/>
          <w:sz w:val="24"/>
          <w:szCs w:val="24"/>
        </w:rPr>
        <w:t>о</w:t>
      </w:r>
      <w:r w:rsidRPr="00E302FE">
        <w:rPr>
          <w:b/>
          <w:sz w:val="24"/>
          <w:szCs w:val="24"/>
        </w:rPr>
        <w:t>торые позволяют автоматизированным способом преобразовывать предоставленную индивидуальную инвестиционную рекомендацию в поручение брокеру на совершение сделки с ценной бумагой и (или) на заключение договора, являющегося производным финансовым инструментом, предусмотренных такой индивидуальной инвестиционной рекомендацией, без непосредственного участия Клиента (далее - программы автослед</w:t>
      </w:r>
      <w:r w:rsidRPr="00E302FE">
        <w:rPr>
          <w:b/>
          <w:sz w:val="24"/>
          <w:szCs w:val="24"/>
        </w:rPr>
        <w:t>о</w:t>
      </w:r>
      <w:r w:rsidRPr="00E302FE">
        <w:rPr>
          <w:b/>
          <w:sz w:val="24"/>
          <w:szCs w:val="24"/>
        </w:rPr>
        <w:t>вания) (аккредитованные уполномоченной организацией в соответствии с пунктом 6 статьи 6.2 Федерального закона от 22 апреля 1996 г. № 39-ФЗ «О рынке ценных б</w:t>
      </w:r>
      <w:r w:rsidRPr="00E302FE">
        <w:rPr>
          <w:b/>
          <w:sz w:val="24"/>
          <w:szCs w:val="24"/>
        </w:rPr>
        <w:t>у</w:t>
      </w:r>
      <w:r w:rsidRPr="00E302FE">
        <w:rPr>
          <w:b/>
          <w:sz w:val="24"/>
          <w:szCs w:val="24"/>
        </w:rPr>
        <w:t>маг»), в связи с тем, что Банк является лицом, осуществляющим деятельность по инв</w:t>
      </w:r>
      <w:r w:rsidRPr="00E302FE">
        <w:rPr>
          <w:b/>
          <w:sz w:val="24"/>
          <w:szCs w:val="24"/>
        </w:rPr>
        <w:t>е</w:t>
      </w:r>
      <w:r w:rsidRPr="00E302FE">
        <w:rPr>
          <w:b/>
          <w:sz w:val="24"/>
          <w:szCs w:val="24"/>
        </w:rPr>
        <w:t>стиционному консультированию, и предлагает получателю финансовых услуг при з</w:t>
      </w:r>
      <w:r w:rsidRPr="00E302FE">
        <w:rPr>
          <w:b/>
          <w:sz w:val="24"/>
          <w:szCs w:val="24"/>
        </w:rPr>
        <w:t>а</w:t>
      </w:r>
      <w:r w:rsidRPr="00E302FE">
        <w:rPr>
          <w:b/>
          <w:sz w:val="24"/>
          <w:szCs w:val="24"/>
        </w:rPr>
        <w:t>ключении договора о брокерском обслуживании также заключить договор об оказании услуг по инвестиционному консультированию.</w:t>
      </w:r>
    </w:p>
    <w:p w:rsidR="00866CEE" w:rsidRDefault="00866CEE"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Рыночный риск</w:t>
      </w:r>
    </w:p>
    <w:p w:rsidR="00E302FE" w:rsidRPr="00E302FE" w:rsidRDefault="00E302FE" w:rsidP="00E302FE">
      <w:pPr>
        <w:ind w:firstLine="709"/>
        <w:jc w:val="both"/>
        <w:rPr>
          <w:sz w:val="24"/>
          <w:szCs w:val="24"/>
        </w:rPr>
      </w:pPr>
      <w:r w:rsidRPr="00E302FE">
        <w:rPr>
          <w:sz w:val="24"/>
          <w:szCs w:val="24"/>
        </w:rPr>
        <w:t>Программа для электронных вычислительных машин, посредством которой предо</w:t>
      </w:r>
      <w:r w:rsidRPr="00E302FE">
        <w:rPr>
          <w:sz w:val="24"/>
          <w:szCs w:val="24"/>
        </w:rPr>
        <w:t>с</w:t>
      </w:r>
      <w:r w:rsidRPr="00E302FE">
        <w:rPr>
          <w:sz w:val="24"/>
          <w:szCs w:val="24"/>
        </w:rPr>
        <w:t>тавляются индивидуальные инвестиционные рекомендации, является одним из способов формирования и предоставления индивидуальных инвестиционных рекомендаций. Испол</w:t>
      </w:r>
      <w:r w:rsidRPr="00E302FE">
        <w:rPr>
          <w:sz w:val="24"/>
          <w:szCs w:val="24"/>
        </w:rPr>
        <w:t>ь</w:t>
      </w:r>
      <w:r w:rsidRPr="00E302FE">
        <w:rPr>
          <w:sz w:val="24"/>
          <w:szCs w:val="24"/>
        </w:rPr>
        <w:t>зование такой программы не является гарантией достижения желаемой Клиентом доходн</w:t>
      </w:r>
      <w:r w:rsidRPr="00E302FE">
        <w:rPr>
          <w:sz w:val="24"/>
          <w:szCs w:val="24"/>
        </w:rPr>
        <w:t>о</w:t>
      </w:r>
      <w:r w:rsidRPr="00E302FE">
        <w:rPr>
          <w:sz w:val="24"/>
          <w:szCs w:val="24"/>
        </w:rPr>
        <w:t>сти от инвестирования средств.</w:t>
      </w:r>
    </w:p>
    <w:p w:rsidR="00E302FE" w:rsidRPr="00E302FE" w:rsidRDefault="00E302FE" w:rsidP="00E302FE">
      <w:pPr>
        <w:ind w:firstLine="709"/>
        <w:jc w:val="both"/>
        <w:rPr>
          <w:sz w:val="24"/>
          <w:szCs w:val="24"/>
        </w:rPr>
      </w:pPr>
      <w:r w:rsidRPr="00E302FE">
        <w:rPr>
          <w:sz w:val="24"/>
          <w:szCs w:val="24"/>
        </w:rPr>
        <w:t>Ценные бумаги и производные финансовые инструменты (далее - финансовые инс</w:t>
      </w:r>
      <w:r w:rsidRPr="00E302FE">
        <w:rPr>
          <w:sz w:val="24"/>
          <w:szCs w:val="24"/>
        </w:rPr>
        <w:t>т</w:t>
      </w:r>
      <w:r w:rsidRPr="00E302FE">
        <w:rPr>
          <w:sz w:val="24"/>
          <w:szCs w:val="24"/>
        </w:rPr>
        <w:t>рументы) подвержены рыночному риску независимо от способа формирования и предоста</w:t>
      </w:r>
      <w:r w:rsidRPr="00E302FE">
        <w:rPr>
          <w:sz w:val="24"/>
          <w:szCs w:val="24"/>
        </w:rPr>
        <w:t>в</w:t>
      </w:r>
      <w:r w:rsidRPr="00E302FE">
        <w:rPr>
          <w:sz w:val="24"/>
          <w:szCs w:val="24"/>
        </w:rPr>
        <w:t>ления индивидуальных инвестиционных рекомендаций в отношении таких финансовых и</w:t>
      </w:r>
      <w:r w:rsidRPr="00E302FE">
        <w:rPr>
          <w:sz w:val="24"/>
          <w:szCs w:val="24"/>
        </w:rPr>
        <w:t>н</w:t>
      </w:r>
      <w:r w:rsidRPr="00E302FE">
        <w:rPr>
          <w:sz w:val="24"/>
          <w:szCs w:val="24"/>
        </w:rPr>
        <w:t>струментов.</w:t>
      </w:r>
    </w:p>
    <w:p w:rsidR="00E302FE" w:rsidRPr="00E302FE" w:rsidRDefault="00E302FE" w:rsidP="00E302FE">
      <w:pPr>
        <w:ind w:firstLine="709"/>
        <w:jc w:val="both"/>
        <w:rPr>
          <w:sz w:val="24"/>
          <w:szCs w:val="24"/>
        </w:rPr>
      </w:pPr>
      <w:r w:rsidRPr="00E302FE">
        <w:rPr>
          <w:sz w:val="24"/>
          <w:szCs w:val="24"/>
        </w:rPr>
        <w:t>Рыночный риск проявляется в неблагоприятном изменении цен (стоимости) прина</w:t>
      </w:r>
      <w:r w:rsidRPr="00E302FE">
        <w:rPr>
          <w:sz w:val="24"/>
          <w:szCs w:val="24"/>
        </w:rPr>
        <w:t>д</w:t>
      </w:r>
      <w:r w:rsidRPr="00E302FE">
        <w:rPr>
          <w:sz w:val="24"/>
          <w:szCs w:val="24"/>
        </w:rPr>
        <w:t>лежащих Клиенту финансовых инструментов, в том числе приобретенных Клиентом в соо</w:t>
      </w:r>
      <w:r w:rsidRPr="00E302FE">
        <w:rPr>
          <w:sz w:val="24"/>
          <w:szCs w:val="24"/>
        </w:rPr>
        <w:t>т</w:t>
      </w:r>
      <w:r w:rsidRPr="00E302FE">
        <w:rPr>
          <w:sz w:val="24"/>
          <w:szCs w:val="24"/>
        </w:rPr>
        <w:t>ветствии с индивидуальными инвестиционными рекомендациями, предоставленными п</w:t>
      </w:r>
      <w:r w:rsidRPr="00E302FE">
        <w:rPr>
          <w:sz w:val="24"/>
          <w:szCs w:val="24"/>
        </w:rPr>
        <w:t>о</w:t>
      </w:r>
      <w:r w:rsidRPr="00E302FE">
        <w:rPr>
          <w:sz w:val="24"/>
          <w:szCs w:val="24"/>
        </w:rPr>
        <w:t>средством программы для электронных вычислительных машин.</w:t>
      </w:r>
    </w:p>
    <w:p w:rsidR="00E302FE" w:rsidRPr="00E302FE" w:rsidRDefault="00E302FE" w:rsidP="00E302FE">
      <w:pPr>
        <w:ind w:firstLine="709"/>
        <w:jc w:val="both"/>
        <w:rPr>
          <w:sz w:val="24"/>
          <w:szCs w:val="24"/>
        </w:rPr>
      </w:pPr>
      <w:r w:rsidRPr="00E302FE">
        <w:rPr>
          <w:sz w:val="24"/>
          <w:szCs w:val="24"/>
        </w:rPr>
        <w:lastRenderedPageBreak/>
        <w:t>Клиент должен отдавать себе отчет в том, что стоимость принадлежащих Клиенту финансовых инструментов может как расти, так и снижаться, в том числе в случае, если при предоставлении Клиенту индивидуальных инвестиционных рекомендаций использовались программы для электронных вычислительных машин.</w:t>
      </w:r>
    </w:p>
    <w:p w:rsidR="00E302FE" w:rsidRPr="00E302FE" w:rsidRDefault="00E302FE" w:rsidP="00E302FE">
      <w:pPr>
        <w:ind w:firstLine="709"/>
        <w:jc w:val="both"/>
        <w:rPr>
          <w:sz w:val="24"/>
          <w:szCs w:val="24"/>
        </w:rPr>
      </w:pPr>
      <w:r w:rsidRPr="00E302FE">
        <w:rPr>
          <w:sz w:val="24"/>
          <w:szCs w:val="24"/>
        </w:rPr>
        <w:t>Рыночный риск возрастает в связи с некорректной работой используемых Банком в своей деятельности программ автоследования и программ автоконсультирования (под пр</w:t>
      </w:r>
      <w:r w:rsidRPr="00E302FE">
        <w:rPr>
          <w:sz w:val="24"/>
          <w:szCs w:val="24"/>
        </w:rPr>
        <w:t>о</w:t>
      </w:r>
      <w:r w:rsidRPr="00E302FE">
        <w:rPr>
          <w:sz w:val="24"/>
          <w:szCs w:val="24"/>
        </w:rPr>
        <w:t>граммой автоконсультирования понимается программа для электронных вычислительных машин, которая на основе заданных условий автоматизированным способом без непосредс</w:t>
      </w:r>
      <w:r w:rsidRPr="00E302FE">
        <w:rPr>
          <w:sz w:val="24"/>
          <w:szCs w:val="24"/>
        </w:rPr>
        <w:t>т</w:t>
      </w:r>
      <w:r w:rsidRPr="00E302FE">
        <w:rPr>
          <w:sz w:val="24"/>
          <w:szCs w:val="24"/>
        </w:rPr>
        <w:t>венного участия человека либо с ограничением его участия сбором и вводом информации в данную программу формирует и предоставляет индивидуальные инвестиционные рекоме</w:t>
      </w:r>
      <w:r w:rsidRPr="00E302FE">
        <w:rPr>
          <w:sz w:val="24"/>
          <w:szCs w:val="24"/>
        </w:rPr>
        <w:t>н</w:t>
      </w:r>
      <w:r w:rsidRPr="00E302FE">
        <w:rPr>
          <w:sz w:val="24"/>
          <w:szCs w:val="24"/>
        </w:rPr>
        <w:t>дации).</w:t>
      </w:r>
    </w:p>
    <w:p w:rsidR="00866CEE" w:rsidRDefault="00866CEE"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Риск ликвидности</w:t>
      </w:r>
    </w:p>
    <w:p w:rsidR="00E302FE" w:rsidRPr="00E302FE" w:rsidRDefault="00E302FE" w:rsidP="00E302FE">
      <w:pPr>
        <w:ind w:firstLine="709"/>
        <w:jc w:val="both"/>
        <w:rPr>
          <w:sz w:val="24"/>
          <w:szCs w:val="24"/>
        </w:rPr>
      </w:pPr>
      <w:r w:rsidRPr="00E302FE">
        <w:rPr>
          <w:sz w:val="24"/>
          <w:szCs w:val="24"/>
        </w:rPr>
        <w:t>Выставленное самостоятельно Клиентом поручение при получении индивидуальной инвестиционной рекомендации посредством программы автоконсультирования или поруч</w:t>
      </w:r>
      <w:r w:rsidRPr="00E302FE">
        <w:rPr>
          <w:sz w:val="24"/>
          <w:szCs w:val="24"/>
        </w:rPr>
        <w:t>е</w:t>
      </w:r>
      <w:r w:rsidRPr="00E302FE">
        <w:rPr>
          <w:sz w:val="24"/>
          <w:szCs w:val="24"/>
        </w:rPr>
        <w:t>ние, являющееся преобразованной индивидуальной инвестиционной рекомендацией в пор</w:t>
      </w:r>
      <w:r w:rsidRPr="00E302FE">
        <w:rPr>
          <w:sz w:val="24"/>
          <w:szCs w:val="24"/>
        </w:rPr>
        <w:t>у</w:t>
      </w:r>
      <w:r w:rsidRPr="00E302FE">
        <w:rPr>
          <w:sz w:val="24"/>
          <w:szCs w:val="24"/>
        </w:rPr>
        <w:t>чение брокеру посредством использования программ автоследования, на организованных торгах может быть не исполнено в связи с отсутствием встречной заявки с подходящими п</w:t>
      </w:r>
      <w:r w:rsidRPr="00E302FE">
        <w:rPr>
          <w:sz w:val="24"/>
          <w:szCs w:val="24"/>
        </w:rPr>
        <w:t>а</w:t>
      </w:r>
      <w:r w:rsidRPr="00E302FE">
        <w:rPr>
          <w:sz w:val="24"/>
          <w:szCs w:val="24"/>
        </w:rPr>
        <w:t>раметрами на покупку или продажу финансового инструмента в связи с большим количес</w:t>
      </w:r>
      <w:r w:rsidRPr="00E302FE">
        <w:rPr>
          <w:sz w:val="24"/>
          <w:szCs w:val="24"/>
        </w:rPr>
        <w:t>т</w:t>
      </w:r>
      <w:r w:rsidRPr="00E302FE">
        <w:rPr>
          <w:sz w:val="24"/>
          <w:szCs w:val="24"/>
        </w:rPr>
        <w:t>вом выставленных брокеру поручений другими Клиентами при использовании программ а</w:t>
      </w:r>
      <w:r w:rsidRPr="00E302FE">
        <w:rPr>
          <w:sz w:val="24"/>
          <w:szCs w:val="24"/>
        </w:rPr>
        <w:t>в</w:t>
      </w:r>
      <w:r w:rsidRPr="00E302FE">
        <w:rPr>
          <w:sz w:val="24"/>
          <w:szCs w:val="24"/>
        </w:rPr>
        <w:t>тоследования.</w:t>
      </w:r>
    </w:p>
    <w:p w:rsidR="00866CEE" w:rsidRDefault="00866CEE"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Риск контрагента</w:t>
      </w:r>
    </w:p>
    <w:p w:rsidR="00E302FE" w:rsidRPr="00E302FE" w:rsidRDefault="00E302FE" w:rsidP="00E302FE">
      <w:pPr>
        <w:ind w:firstLine="709"/>
        <w:jc w:val="both"/>
        <w:rPr>
          <w:sz w:val="24"/>
          <w:szCs w:val="24"/>
        </w:rPr>
      </w:pPr>
      <w:r w:rsidRPr="00E302FE">
        <w:rPr>
          <w:sz w:val="24"/>
          <w:szCs w:val="24"/>
        </w:rPr>
        <w:t>Банк как инвестиционный советник обязуется действовать добросовестно, разумно и в интересах Клиентов. Предоставление индивидуальных инвестиционных рекомендаций п</w:t>
      </w:r>
      <w:r w:rsidRPr="00E302FE">
        <w:rPr>
          <w:sz w:val="24"/>
          <w:szCs w:val="24"/>
        </w:rPr>
        <w:t>о</w:t>
      </w:r>
      <w:r w:rsidRPr="00E302FE">
        <w:rPr>
          <w:sz w:val="24"/>
          <w:szCs w:val="24"/>
        </w:rPr>
        <w:t>средством программ автоследования подразумевает под собой невозможность для Клиента изменить параметры поручения брокеру. Ответственность за выбор инвестиционного сове</w:t>
      </w:r>
      <w:r w:rsidRPr="00E302FE">
        <w:rPr>
          <w:sz w:val="24"/>
          <w:szCs w:val="24"/>
        </w:rPr>
        <w:t>т</w:t>
      </w:r>
      <w:r w:rsidRPr="00E302FE">
        <w:rPr>
          <w:sz w:val="24"/>
          <w:szCs w:val="24"/>
        </w:rPr>
        <w:t>ника, в том числе оценка его профессионализма, лежит на Клиенте.</w:t>
      </w:r>
    </w:p>
    <w:p w:rsidR="00866CEE" w:rsidRDefault="00866CEE"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Операционный риск</w:t>
      </w:r>
    </w:p>
    <w:p w:rsidR="00E302FE" w:rsidRPr="00E302FE" w:rsidRDefault="00E302FE" w:rsidP="00E302FE">
      <w:pPr>
        <w:ind w:firstLine="709"/>
        <w:jc w:val="both"/>
        <w:rPr>
          <w:sz w:val="24"/>
          <w:szCs w:val="24"/>
        </w:rPr>
      </w:pPr>
      <w:r w:rsidRPr="00E302FE">
        <w:rPr>
          <w:sz w:val="24"/>
          <w:szCs w:val="24"/>
        </w:rPr>
        <w:t>Операционный риск заключается в возможности причинения Клиенту убытков в р</w:t>
      </w:r>
      <w:r w:rsidRPr="00E302FE">
        <w:rPr>
          <w:sz w:val="24"/>
          <w:szCs w:val="24"/>
        </w:rPr>
        <w:t>е</w:t>
      </w:r>
      <w:r w:rsidRPr="00E302FE">
        <w:rPr>
          <w:sz w:val="24"/>
          <w:szCs w:val="24"/>
        </w:rPr>
        <w:t>зультате нарушений и сбоев в различных внутренних процедурах Банка в случае использ</w:t>
      </w:r>
      <w:r w:rsidRPr="00E302FE">
        <w:rPr>
          <w:sz w:val="24"/>
          <w:szCs w:val="24"/>
        </w:rPr>
        <w:t>о</w:t>
      </w:r>
      <w:r w:rsidRPr="00E302FE">
        <w:rPr>
          <w:sz w:val="24"/>
          <w:szCs w:val="24"/>
        </w:rPr>
        <w:t>вания программ.</w:t>
      </w:r>
    </w:p>
    <w:p w:rsidR="00E302FE" w:rsidRDefault="00E302FE" w:rsidP="00E302FE">
      <w:pPr>
        <w:ind w:firstLine="709"/>
        <w:jc w:val="both"/>
        <w:rPr>
          <w:sz w:val="24"/>
          <w:szCs w:val="24"/>
        </w:rPr>
      </w:pPr>
      <w:r w:rsidRPr="00E302FE">
        <w:rPr>
          <w:sz w:val="24"/>
          <w:szCs w:val="24"/>
        </w:rPr>
        <w:t>Операционный риск может исключить или затруднить совершение операций и в р</w:t>
      </w:r>
      <w:r w:rsidRPr="00E302FE">
        <w:rPr>
          <w:sz w:val="24"/>
          <w:szCs w:val="24"/>
        </w:rPr>
        <w:t>е</w:t>
      </w:r>
      <w:r w:rsidRPr="00E302FE">
        <w:rPr>
          <w:sz w:val="24"/>
          <w:szCs w:val="24"/>
        </w:rPr>
        <w:t>зультате привести к убыткам, в том числе в результате:</w:t>
      </w:r>
    </w:p>
    <w:tbl>
      <w:tblPr>
        <w:tblW w:w="9747" w:type="dxa"/>
        <w:tblLook w:val="04A0"/>
      </w:tblPr>
      <w:tblGrid>
        <w:gridCol w:w="817"/>
        <w:gridCol w:w="296"/>
        <w:gridCol w:w="8634"/>
      </w:tblGrid>
      <w:tr w:rsidR="00CA1407" w:rsidRPr="00072483"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CA1407" w:rsidRPr="00072483" w:rsidRDefault="00CA1407" w:rsidP="00CA1407">
            <w:pPr>
              <w:jc w:val="both"/>
              <w:rPr>
                <w:bCs/>
                <w:sz w:val="24"/>
                <w:szCs w:val="24"/>
              </w:rPr>
            </w:pPr>
            <w:r w:rsidRPr="00E302FE">
              <w:rPr>
                <w:sz w:val="24"/>
                <w:szCs w:val="24"/>
              </w:rPr>
              <w:t>возникновения неисправностей (технический риск) в работе алгоритма создания поручений на основе индивидуальных инвестиционных рекомендаций или си</w:t>
            </w:r>
            <w:r w:rsidRPr="00E302FE">
              <w:rPr>
                <w:sz w:val="24"/>
                <w:szCs w:val="24"/>
              </w:rPr>
              <w:t>с</w:t>
            </w:r>
            <w:r w:rsidRPr="00E302FE">
              <w:rPr>
                <w:sz w:val="24"/>
                <w:szCs w:val="24"/>
              </w:rPr>
              <w:t>тем обеспечения функционирования данного алгоритма, приводящих к напра</w:t>
            </w:r>
            <w:r w:rsidRPr="00E302FE">
              <w:rPr>
                <w:sz w:val="24"/>
                <w:szCs w:val="24"/>
              </w:rPr>
              <w:t>в</w:t>
            </w:r>
            <w:r w:rsidRPr="00E302FE">
              <w:rPr>
                <w:sz w:val="24"/>
                <w:szCs w:val="24"/>
              </w:rPr>
              <w:t>лению брокеру поручений, параметры которых отличны от параметров индив</w:t>
            </w:r>
            <w:r w:rsidRPr="00E302FE">
              <w:rPr>
                <w:sz w:val="24"/>
                <w:szCs w:val="24"/>
              </w:rPr>
              <w:t>и</w:t>
            </w:r>
            <w:r w:rsidRPr="00E302FE">
              <w:rPr>
                <w:sz w:val="24"/>
                <w:szCs w:val="24"/>
              </w:rPr>
              <w:t>дуальных инвестиционных рекомендаций;</w:t>
            </w:r>
          </w:p>
        </w:tc>
      </w:tr>
      <w:tr w:rsidR="00CA1407" w:rsidRPr="00292985"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CA1407" w:rsidRPr="00292985" w:rsidRDefault="00CA1407" w:rsidP="00CA1407">
            <w:pPr>
              <w:jc w:val="both"/>
              <w:rPr>
                <w:bCs/>
                <w:sz w:val="24"/>
                <w:szCs w:val="24"/>
              </w:rPr>
            </w:pPr>
            <w:r w:rsidRPr="00E302FE">
              <w:rPr>
                <w:sz w:val="24"/>
                <w:szCs w:val="24"/>
              </w:rPr>
              <w:t>ошибок и недобросовестных действий работников инвестиционного советника (Банка);</w:t>
            </w:r>
          </w:p>
        </w:tc>
      </w:tr>
      <w:tr w:rsidR="00CA1407" w:rsidRPr="00292985"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A1407" w:rsidRPr="00292985" w:rsidRDefault="00CA1407" w:rsidP="00CA1407">
            <w:pPr>
              <w:jc w:val="both"/>
              <w:rPr>
                <w:bCs/>
                <w:sz w:val="24"/>
                <w:szCs w:val="24"/>
              </w:rPr>
            </w:pPr>
            <w:r w:rsidRPr="00E302FE">
              <w:rPr>
                <w:sz w:val="24"/>
                <w:szCs w:val="24"/>
              </w:rPr>
              <w:t>ошибок и недобросовестных действий третьих лиц;</w:t>
            </w:r>
          </w:p>
        </w:tc>
      </w:tr>
      <w:tr w:rsidR="00CA1407" w:rsidRPr="00292985"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A1407" w:rsidRPr="00292985" w:rsidRDefault="00CA1407" w:rsidP="00CA1407">
            <w:pPr>
              <w:jc w:val="both"/>
              <w:rPr>
                <w:bCs/>
                <w:sz w:val="24"/>
                <w:szCs w:val="24"/>
              </w:rPr>
            </w:pPr>
            <w:r w:rsidRPr="00E302FE">
              <w:rPr>
                <w:sz w:val="24"/>
                <w:szCs w:val="24"/>
              </w:rPr>
              <w:t>сбоев в работе технических средств инвестиционного советника (Банка), его партнеров, инфраструктурных организаций, в том числе организаторов торговли, клиринговых организаций, а также иных организаций;</w:t>
            </w:r>
          </w:p>
        </w:tc>
      </w:tr>
      <w:tr w:rsidR="00CA1407" w:rsidRPr="00292985"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A1407" w:rsidRPr="00292985" w:rsidRDefault="00CA1407" w:rsidP="00CA1407">
            <w:pPr>
              <w:jc w:val="both"/>
              <w:rPr>
                <w:bCs/>
                <w:sz w:val="24"/>
                <w:szCs w:val="24"/>
              </w:rPr>
            </w:pPr>
            <w:r w:rsidRPr="00E302FE">
              <w:rPr>
                <w:sz w:val="24"/>
                <w:szCs w:val="24"/>
              </w:rPr>
              <w:t>ошибок введения информации в программу, на основании которой определяется инвестиционный профиль, иных важных параметров для корректного предоста</w:t>
            </w:r>
            <w:r w:rsidRPr="00E302FE">
              <w:rPr>
                <w:sz w:val="24"/>
                <w:szCs w:val="24"/>
              </w:rPr>
              <w:t>в</w:t>
            </w:r>
            <w:r w:rsidRPr="00E302FE">
              <w:rPr>
                <w:sz w:val="24"/>
                <w:szCs w:val="24"/>
              </w:rPr>
              <w:t>ления индивидуальных инвестиционных рекомендаций Банком, а также в р</w:t>
            </w:r>
            <w:r w:rsidRPr="00E302FE">
              <w:rPr>
                <w:sz w:val="24"/>
                <w:szCs w:val="24"/>
              </w:rPr>
              <w:t>е</w:t>
            </w:r>
            <w:r w:rsidRPr="00E302FE">
              <w:rPr>
                <w:sz w:val="24"/>
                <w:szCs w:val="24"/>
              </w:rPr>
              <w:t>зультате иных ошибок, совершаемых Клиентом и (или) Банком при использов</w:t>
            </w:r>
            <w:r w:rsidRPr="00E302FE">
              <w:rPr>
                <w:sz w:val="24"/>
                <w:szCs w:val="24"/>
              </w:rPr>
              <w:t>а</w:t>
            </w:r>
            <w:r w:rsidRPr="00E302FE">
              <w:rPr>
                <w:sz w:val="24"/>
                <w:szCs w:val="24"/>
              </w:rPr>
              <w:t>нии программ для оказания услуг по инвестиционному консультированию;</w:t>
            </w:r>
          </w:p>
        </w:tc>
      </w:tr>
      <w:tr w:rsidR="00CA1407" w:rsidRPr="00292985" w:rsidTr="006433E9">
        <w:tc>
          <w:tcPr>
            <w:tcW w:w="817" w:type="dxa"/>
          </w:tcPr>
          <w:p w:rsidR="00CA1407" w:rsidRPr="00072483" w:rsidRDefault="00CA1407" w:rsidP="00CA1407">
            <w:pPr>
              <w:pStyle w:val="Default"/>
              <w:jc w:val="both"/>
              <w:rPr>
                <w:rFonts w:ascii="Times New Roman" w:hAnsi="Times New Roman" w:cs="Times New Roman"/>
                <w:bCs/>
              </w:rPr>
            </w:pPr>
          </w:p>
        </w:tc>
        <w:tc>
          <w:tcPr>
            <w:tcW w:w="296" w:type="dxa"/>
          </w:tcPr>
          <w:p w:rsidR="00CA1407" w:rsidRPr="00072483" w:rsidRDefault="00CA1407" w:rsidP="00CA1407">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A1407" w:rsidRPr="00292985" w:rsidRDefault="00CA1407" w:rsidP="00CA1407">
            <w:pPr>
              <w:jc w:val="both"/>
              <w:rPr>
                <w:bCs/>
                <w:sz w:val="24"/>
                <w:szCs w:val="24"/>
              </w:rPr>
            </w:pPr>
            <w:r w:rsidRPr="00E302FE">
              <w:rPr>
                <w:sz w:val="24"/>
                <w:szCs w:val="24"/>
              </w:rPr>
              <w:t>несанкционированного доступа к программе (включая использование учетной записи пользователей программы), который в том числе может повлечь измен</w:t>
            </w:r>
            <w:r w:rsidRPr="00E302FE">
              <w:rPr>
                <w:sz w:val="24"/>
                <w:szCs w:val="24"/>
              </w:rPr>
              <w:t>е</w:t>
            </w:r>
            <w:r w:rsidRPr="00E302FE">
              <w:rPr>
                <w:sz w:val="24"/>
                <w:szCs w:val="24"/>
              </w:rPr>
              <w:lastRenderedPageBreak/>
              <w:t>ние механизма (алгоритма) программы и, как следствие, привести к убыткам.</w:t>
            </w:r>
          </w:p>
        </w:tc>
      </w:tr>
    </w:tbl>
    <w:p w:rsidR="00866CEE" w:rsidRDefault="00866CEE" w:rsidP="00CA1407">
      <w:pPr>
        <w:ind w:firstLine="709"/>
        <w:jc w:val="both"/>
        <w:rPr>
          <w:b/>
          <w:i/>
          <w:sz w:val="24"/>
          <w:szCs w:val="24"/>
        </w:rPr>
      </w:pPr>
    </w:p>
    <w:p w:rsidR="00E302FE" w:rsidRPr="00C041F6" w:rsidRDefault="00E302FE" w:rsidP="00E302FE">
      <w:pPr>
        <w:ind w:firstLine="709"/>
        <w:jc w:val="both"/>
        <w:rPr>
          <w:b/>
          <w:i/>
          <w:sz w:val="24"/>
          <w:szCs w:val="24"/>
        </w:rPr>
      </w:pPr>
      <w:r w:rsidRPr="00C041F6">
        <w:rPr>
          <w:b/>
          <w:i/>
          <w:sz w:val="24"/>
          <w:szCs w:val="24"/>
        </w:rPr>
        <w:t>Риски, связанные с нарушением непрерывности функционирования программ</w:t>
      </w:r>
    </w:p>
    <w:p w:rsidR="00E302FE" w:rsidRPr="00C041F6" w:rsidRDefault="00E302FE" w:rsidP="00E302FE">
      <w:pPr>
        <w:ind w:firstLine="709"/>
        <w:jc w:val="both"/>
        <w:rPr>
          <w:b/>
          <w:i/>
          <w:sz w:val="24"/>
          <w:szCs w:val="24"/>
        </w:rPr>
      </w:pPr>
      <w:r w:rsidRPr="00C041F6">
        <w:rPr>
          <w:b/>
          <w:i/>
          <w:sz w:val="24"/>
          <w:szCs w:val="24"/>
        </w:rPr>
        <w:t>для оказания услуг по инвестиционному консультированию</w:t>
      </w:r>
    </w:p>
    <w:p w:rsidR="00E302FE" w:rsidRDefault="00E302FE" w:rsidP="00E302FE">
      <w:pPr>
        <w:ind w:firstLine="709"/>
        <w:jc w:val="both"/>
        <w:rPr>
          <w:sz w:val="24"/>
          <w:szCs w:val="24"/>
        </w:rPr>
      </w:pPr>
      <w:r w:rsidRPr="00C041F6">
        <w:rPr>
          <w:sz w:val="24"/>
          <w:szCs w:val="24"/>
        </w:rPr>
        <w:t>Использование программ для оказания услуг по инвестиционному консультированию (предоставления индивидуальных инвестиционных рекомендаций) связано с наличием ри</w:t>
      </w:r>
      <w:r w:rsidRPr="00C041F6">
        <w:rPr>
          <w:sz w:val="24"/>
          <w:szCs w:val="24"/>
        </w:rPr>
        <w:t>с</w:t>
      </w:r>
      <w:r w:rsidRPr="00C041F6">
        <w:rPr>
          <w:sz w:val="24"/>
          <w:szCs w:val="24"/>
        </w:rPr>
        <w:t>ков непрерывности функционирования программы, которые включают в себя в том числе:</w:t>
      </w:r>
    </w:p>
    <w:tbl>
      <w:tblPr>
        <w:tblW w:w="9747" w:type="dxa"/>
        <w:tblLook w:val="04A0"/>
      </w:tblPr>
      <w:tblGrid>
        <w:gridCol w:w="817"/>
        <w:gridCol w:w="296"/>
        <w:gridCol w:w="8634"/>
      </w:tblGrid>
      <w:tr w:rsidR="00C041F6" w:rsidRPr="00072483"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C041F6" w:rsidRPr="00072483" w:rsidRDefault="00C041F6" w:rsidP="00DC6325">
            <w:pPr>
              <w:jc w:val="both"/>
              <w:rPr>
                <w:bCs/>
                <w:sz w:val="24"/>
                <w:szCs w:val="24"/>
              </w:rPr>
            </w:pPr>
            <w:r w:rsidRPr="00E302FE">
              <w:rPr>
                <w:sz w:val="24"/>
                <w:szCs w:val="24"/>
              </w:rPr>
              <w:t>риск прекращения использования инвестиционным советником (Банком) пр</w:t>
            </w:r>
            <w:r w:rsidRPr="00E302FE">
              <w:rPr>
                <w:sz w:val="24"/>
                <w:szCs w:val="24"/>
              </w:rPr>
              <w:t>о</w:t>
            </w:r>
            <w:r w:rsidRPr="00E302FE">
              <w:rPr>
                <w:sz w:val="24"/>
                <w:szCs w:val="24"/>
              </w:rPr>
              <w:t>граммы для предоставления индивидуальных инвестиционных рекомендаций Клиентам по соображениям коммерческого характера. Клиент должен отдавать себе отчет в том, что инвестиционный советник (Банк) может прекратить испол</w:t>
            </w:r>
            <w:r w:rsidRPr="00E302FE">
              <w:rPr>
                <w:sz w:val="24"/>
                <w:szCs w:val="24"/>
              </w:rPr>
              <w:t>ь</w:t>
            </w:r>
            <w:r w:rsidRPr="00E302FE">
              <w:rPr>
                <w:sz w:val="24"/>
                <w:szCs w:val="24"/>
              </w:rPr>
              <w:t>зование программы для предоставления индивидуальных инвестиционных рек</w:t>
            </w:r>
            <w:r w:rsidRPr="00E302FE">
              <w:rPr>
                <w:sz w:val="24"/>
                <w:szCs w:val="24"/>
              </w:rPr>
              <w:t>о</w:t>
            </w:r>
            <w:r w:rsidRPr="00E302FE">
              <w:rPr>
                <w:sz w:val="24"/>
                <w:szCs w:val="24"/>
              </w:rPr>
              <w:t>мендаций во время действия заключенного с Клиентом договора об инвестиц</w:t>
            </w:r>
            <w:r w:rsidRPr="00E302FE">
              <w:rPr>
                <w:sz w:val="24"/>
                <w:szCs w:val="24"/>
              </w:rPr>
              <w:t>и</w:t>
            </w:r>
            <w:r w:rsidRPr="00E302FE">
              <w:rPr>
                <w:sz w:val="24"/>
                <w:szCs w:val="24"/>
              </w:rPr>
              <w:t>онном консультировании по различным соображениям коммерческого характера, в том числе вследствие истечения или досрочного прекращения лицензионного договора на использование такого программного обеспечения;</w:t>
            </w:r>
          </w:p>
        </w:tc>
      </w:tr>
      <w:tr w:rsidR="00C041F6" w:rsidRPr="00292985"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C041F6" w:rsidRPr="00292985" w:rsidRDefault="00C041F6" w:rsidP="00DC6325">
            <w:pPr>
              <w:jc w:val="both"/>
              <w:rPr>
                <w:bCs/>
                <w:sz w:val="24"/>
                <w:szCs w:val="24"/>
              </w:rPr>
            </w:pPr>
            <w:r w:rsidRPr="00E302FE">
              <w:rPr>
                <w:sz w:val="24"/>
                <w:szCs w:val="24"/>
              </w:rPr>
              <w:t>риск отзыва аккредитации программы, посредством которой предоставляются индивидуальные инвестиционные рекомендации, Банком России или саморег</w:t>
            </w:r>
            <w:r w:rsidRPr="00E302FE">
              <w:rPr>
                <w:sz w:val="24"/>
                <w:szCs w:val="24"/>
              </w:rPr>
              <w:t>у</w:t>
            </w:r>
            <w:r w:rsidRPr="00E302FE">
              <w:rPr>
                <w:sz w:val="24"/>
                <w:szCs w:val="24"/>
              </w:rPr>
              <w:t>лируемой организацией, выдавшим(ей) такую аккредитацию, по основаниям, предусмотренным действующим законодательством Российской Федерации, в том числе нормативными актами Банка России. В случае отзыва аккредитации программы инвестиционный советник (Банк) будет обязан прекратить использ</w:t>
            </w:r>
            <w:r w:rsidRPr="00E302FE">
              <w:rPr>
                <w:sz w:val="24"/>
                <w:szCs w:val="24"/>
              </w:rPr>
              <w:t>о</w:t>
            </w:r>
            <w:r w:rsidRPr="00E302FE">
              <w:rPr>
                <w:sz w:val="24"/>
                <w:szCs w:val="24"/>
              </w:rPr>
              <w:t>вание программы. (Программы автоследования и программы автоконсультир</w:t>
            </w:r>
            <w:r w:rsidRPr="00E302FE">
              <w:rPr>
                <w:sz w:val="24"/>
                <w:szCs w:val="24"/>
              </w:rPr>
              <w:t>о</w:t>
            </w:r>
            <w:r w:rsidRPr="00E302FE">
              <w:rPr>
                <w:sz w:val="24"/>
                <w:szCs w:val="24"/>
              </w:rPr>
              <w:t>вания должны быть аккредитованы Банком России, а в случае передачи Банком России полномочий по аккредитации программ в соответствии с пунктом 6 ст</w:t>
            </w:r>
            <w:r w:rsidRPr="00E302FE">
              <w:rPr>
                <w:sz w:val="24"/>
                <w:szCs w:val="24"/>
              </w:rPr>
              <w:t>а</w:t>
            </w:r>
            <w:r w:rsidRPr="00E302FE">
              <w:rPr>
                <w:sz w:val="24"/>
                <w:szCs w:val="24"/>
              </w:rPr>
              <w:t>тьи 6.2 Федерального закона от 22 апреля 1996 г. № 39-ФЗ «О рынке ценных б</w:t>
            </w:r>
            <w:r w:rsidRPr="00E302FE">
              <w:rPr>
                <w:sz w:val="24"/>
                <w:szCs w:val="24"/>
              </w:rPr>
              <w:t>у</w:t>
            </w:r>
            <w:r w:rsidRPr="00E302FE">
              <w:rPr>
                <w:sz w:val="24"/>
                <w:szCs w:val="24"/>
              </w:rPr>
              <w:t>маг» саморегулируемой организации в сфере финансового рынка, объединяющей инвестиционных советников, - саморегулируемой организацией. В случае отзыва аккредитации используемой Банком программы автоследования и (или) пр</w:t>
            </w:r>
            <w:r w:rsidRPr="00E302FE">
              <w:rPr>
                <w:sz w:val="24"/>
                <w:szCs w:val="24"/>
              </w:rPr>
              <w:t>о</w:t>
            </w:r>
            <w:r w:rsidRPr="00E302FE">
              <w:rPr>
                <w:sz w:val="24"/>
                <w:szCs w:val="24"/>
              </w:rPr>
              <w:t>граммы автоконсультирования и невозможности их использования в дальнейшей деятельности Банка как инвестиционного советника, у Клиента возникает риск уменьшения дохода или возникновения убытков);</w:t>
            </w:r>
          </w:p>
        </w:tc>
      </w:tr>
      <w:tr w:rsidR="00C041F6" w:rsidRPr="00292985"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041F6" w:rsidRPr="00292985" w:rsidRDefault="00C041F6" w:rsidP="00DC6325">
            <w:pPr>
              <w:jc w:val="both"/>
              <w:rPr>
                <w:bCs/>
                <w:sz w:val="24"/>
                <w:szCs w:val="24"/>
              </w:rPr>
            </w:pPr>
            <w:r w:rsidRPr="00E302FE">
              <w:rPr>
                <w:sz w:val="24"/>
                <w:szCs w:val="24"/>
              </w:rPr>
              <w:t>риск сбоя в программном обеспечении, который, помимо прочего, может приве</w:t>
            </w:r>
            <w:r w:rsidRPr="00E302FE">
              <w:rPr>
                <w:sz w:val="24"/>
                <w:szCs w:val="24"/>
              </w:rPr>
              <w:t>с</w:t>
            </w:r>
            <w:r w:rsidRPr="00E302FE">
              <w:rPr>
                <w:sz w:val="24"/>
                <w:szCs w:val="24"/>
              </w:rPr>
              <w:t>ти к нарушениям и временной приостановке в работе алгоритма, формирующего индивидуальные инвестиционные рекомендации, и (или) алгоритма, позволя</w:t>
            </w:r>
            <w:r w:rsidRPr="00E302FE">
              <w:rPr>
                <w:sz w:val="24"/>
                <w:szCs w:val="24"/>
              </w:rPr>
              <w:t>ю</w:t>
            </w:r>
            <w:r w:rsidRPr="00E302FE">
              <w:rPr>
                <w:sz w:val="24"/>
                <w:szCs w:val="24"/>
              </w:rPr>
              <w:t>щего преобразовывать предоставленную индивидуальную инвестиционную р</w:t>
            </w:r>
            <w:r w:rsidRPr="00E302FE">
              <w:rPr>
                <w:sz w:val="24"/>
                <w:szCs w:val="24"/>
              </w:rPr>
              <w:t>е</w:t>
            </w:r>
            <w:r w:rsidRPr="00E302FE">
              <w:rPr>
                <w:sz w:val="24"/>
                <w:szCs w:val="24"/>
              </w:rPr>
              <w:t>комендацию в поручение брокеру на совершение сделок с финансовыми инстр</w:t>
            </w:r>
            <w:r w:rsidRPr="00E302FE">
              <w:rPr>
                <w:sz w:val="24"/>
                <w:szCs w:val="24"/>
              </w:rPr>
              <w:t>у</w:t>
            </w:r>
            <w:r w:rsidRPr="00E302FE">
              <w:rPr>
                <w:sz w:val="24"/>
                <w:szCs w:val="24"/>
              </w:rPr>
              <w:t>ментами без непосредственного участия Клиента, который может потенциально привести к направлению поручений с использованием программы автоследов</w:t>
            </w:r>
            <w:r w:rsidRPr="00E302FE">
              <w:rPr>
                <w:sz w:val="24"/>
                <w:szCs w:val="24"/>
              </w:rPr>
              <w:t>а</w:t>
            </w:r>
            <w:r w:rsidRPr="00E302FE">
              <w:rPr>
                <w:sz w:val="24"/>
                <w:szCs w:val="24"/>
              </w:rPr>
              <w:t>ния, параметры которых отличны от параметров индивидуальной инвестицио</w:t>
            </w:r>
            <w:r w:rsidRPr="00E302FE">
              <w:rPr>
                <w:sz w:val="24"/>
                <w:szCs w:val="24"/>
              </w:rPr>
              <w:t>н</w:t>
            </w:r>
            <w:r w:rsidRPr="00E302FE">
              <w:rPr>
                <w:sz w:val="24"/>
                <w:szCs w:val="24"/>
              </w:rPr>
              <w:t>ной рекомендации;</w:t>
            </w:r>
          </w:p>
        </w:tc>
      </w:tr>
      <w:tr w:rsidR="00C041F6" w:rsidRPr="00292985"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041F6" w:rsidRPr="00292985" w:rsidRDefault="00C041F6" w:rsidP="00DC6325">
            <w:pPr>
              <w:jc w:val="both"/>
              <w:rPr>
                <w:bCs/>
                <w:sz w:val="24"/>
                <w:szCs w:val="24"/>
              </w:rPr>
            </w:pPr>
            <w:r w:rsidRPr="00E302FE">
              <w:rPr>
                <w:sz w:val="24"/>
                <w:szCs w:val="24"/>
              </w:rPr>
              <w:t>риск перебоев в работе каналов связи, в том числе риск перебоев в работе и</w:t>
            </w:r>
            <w:r w:rsidRPr="00E302FE">
              <w:rPr>
                <w:sz w:val="24"/>
                <w:szCs w:val="24"/>
              </w:rPr>
              <w:t>н</w:t>
            </w:r>
            <w:r w:rsidRPr="00E302FE">
              <w:rPr>
                <w:sz w:val="24"/>
                <w:szCs w:val="24"/>
              </w:rPr>
              <w:t>формационно-телекоммуникационной сети «Интернет», которые в том числе м</w:t>
            </w:r>
            <w:r w:rsidRPr="00E302FE">
              <w:rPr>
                <w:sz w:val="24"/>
                <w:szCs w:val="24"/>
              </w:rPr>
              <w:t>о</w:t>
            </w:r>
            <w:r w:rsidRPr="00E302FE">
              <w:rPr>
                <w:sz w:val="24"/>
                <w:szCs w:val="24"/>
              </w:rPr>
              <w:t>гут привести к существенным задержкам в передаче рыночной информации, на основании которой формируется индивидуальная инвестиционная рекомендация, задержкам в передаче поручений Клиента брокеру во исполнение индивидуал</w:t>
            </w:r>
            <w:r w:rsidRPr="00E302FE">
              <w:rPr>
                <w:sz w:val="24"/>
                <w:szCs w:val="24"/>
              </w:rPr>
              <w:t>ь</w:t>
            </w:r>
            <w:r w:rsidRPr="00E302FE">
              <w:rPr>
                <w:sz w:val="24"/>
                <w:szCs w:val="24"/>
              </w:rPr>
              <w:t>ных инвестиционных рекомендаций, что может привести к снижению ожидаемой доходности или убыткам;</w:t>
            </w:r>
          </w:p>
        </w:tc>
      </w:tr>
      <w:tr w:rsidR="00C041F6" w:rsidRPr="00292985"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041F6" w:rsidRPr="00292985" w:rsidRDefault="00C041F6" w:rsidP="00DC6325">
            <w:pPr>
              <w:jc w:val="both"/>
              <w:rPr>
                <w:bCs/>
                <w:sz w:val="24"/>
                <w:szCs w:val="24"/>
              </w:rPr>
            </w:pPr>
            <w:r w:rsidRPr="00E302FE">
              <w:rPr>
                <w:sz w:val="24"/>
                <w:szCs w:val="24"/>
              </w:rPr>
              <w:t>риск перебоев в энергоснабжении и иные причины технического характера, к</w:t>
            </w:r>
            <w:r w:rsidRPr="00E302FE">
              <w:rPr>
                <w:sz w:val="24"/>
                <w:szCs w:val="24"/>
              </w:rPr>
              <w:t>о</w:t>
            </w:r>
            <w:r w:rsidRPr="00E302FE">
              <w:rPr>
                <w:sz w:val="24"/>
                <w:szCs w:val="24"/>
              </w:rPr>
              <w:t>торые также могут привести к перерывам в работе программ, снижению ожида</w:t>
            </w:r>
            <w:r w:rsidRPr="00E302FE">
              <w:rPr>
                <w:sz w:val="24"/>
                <w:szCs w:val="24"/>
              </w:rPr>
              <w:t>е</w:t>
            </w:r>
            <w:r w:rsidRPr="00E302FE">
              <w:rPr>
                <w:sz w:val="24"/>
                <w:szCs w:val="24"/>
              </w:rPr>
              <w:t>мой доходности или убыткам;</w:t>
            </w:r>
          </w:p>
        </w:tc>
      </w:tr>
      <w:tr w:rsidR="00C041F6" w:rsidRPr="00292985" w:rsidTr="00DC6325">
        <w:tc>
          <w:tcPr>
            <w:tcW w:w="817" w:type="dxa"/>
          </w:tcPr>
          <w:p w:rsidR="00C041F6" w:rsidRPr="00072483" w:rsidRDefault="00C041F6" w:rsidP="00DC6325">
            <w:pPr>
              <w:pStyle w:val="Default"/>
              <w:jc w:val="both"/>
              <w:rPr>
                <w:rFonts w:ascii="Times New Roman" w:hAnsi="Times New Roman" w:cs="Times New Roman"/>
                <w:bCs/>
              </w:rPr>
            </w:pPr>
          </w:p>
        </w:tc>
        <w:tc>
          <w:tcPr>
            <w:tcW w:w="296" w:type="dxa"/>
          </w:tcPr>
          <w:p w:rsidR="00C041F6" w:rsidRPr="00072483" w:rsidRDefault="00C041F6" w:rsidP="00DC6325">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C041F6" w:rsidRPr="00292985" w:rsidRDefault="00C041F6" w:rsidP="00DC6325">
            <w:pPr>
              <w:jc w:val="both"/>
              <w:rPr>
                <w:bCs/>
                <w:sz w:val="24"/>
                <w:szCs w:val="24"/>
              </w:rPr>
            </w:pPr>
            <w:r w:rsidRPr="00E302FE">
              <w:rPr>
                <w:sz w:val="24"/>
                <w:szCs w:val="24"/>
              </w:rPr>
              <w:t>риск убытков, связанный с отсутствием возможности (невозможностью) или н</w:t>
            </w:r>
            <w:r w:rsidRPr="00E302FE">
              <w:rPr>
                <w:sz w:val="24"/>
                <w:szCs w:val="24"/>
              </w:rPr>
              <w:t>а</w:t>
            </w:r>
            <w:r w:rsidRPr="00E302FE">
              <w:rPr>
                <w:sz w:val="24"/>
                <w:szCs w:val="24"/>
              </w:rPr>
              <w:t>личием ограничений в действиях, которые может предпринять Клиент для с</w:t>
            </w:r>
            <w:r w:rsidRPr="00E302FE">
              <w:rPr>
                <w:sz w:val="24"/>
                <w:szCs w:val="24"/>
              </w:rPr>
              <w:t>о</w:t>
            </w:r>
            <w:r w:rsidRPr="00E302FE">
              <w:rPr>
                <w:sz w:val="24"/>
                <w:szCs w:val="24"/>
              </w:rPr>
              <w:lastRenderedPageBreak/>
              <w:t>вершения операций с финансовыми инструментами без использования програ</w:t>
            </w:r>
            <w:r w:rsidRPr="00E302FE">
              <w:rPr>
                <w:sz w:val="24"/>
                <w:szCs w:val="24"/>
              </w:rPr>
              <w:t>м</w:t>
            </w:r>
            <w:r w:rsidRPr="00E302FE">
              <w:rPr>
                <w:sz w:val="24"/>
                <w:szCs w:val="24"/>
              </w:rPr>
              <w:t>мы автоследования в период недоступности программы для оказания услуг по инвестиционному консультированию.</w:t>
            </w:r>
          </w:p>
        </w:tc>
      </w:tr>
    </w:tbl>
    <w:p w:rsidR="00E302FE" w:rsidRPr="00E302FE" w:rsidRDefault="00E302FE" w:rsidP="00E302FE">
      <w:pPr>
        <w:ind w:firstLine="709"/>
        <w:jc w:val="both"/>
        <w:rPr>
          <w:sz w:val="24"/>
          <w:szCs w:val="24"/>
        </w:rPr>
      </w:pPr>
      <w:r w:rsidRPr="00E302FE">
        <w:rPr>
          <w:sz w:val="24"/>
          <w:szCs w:val="24"/>
        </w:rPr>
        <w:lastRenderedPageBreak/>
        <w:t>При сбоях в системах программ автоконсультирования и программ автоследования</w:t>
      </w:r>
      <w:r w:rsidRPr="00E302FE" w:rsidDel="00AB1937">
        <w:rPr>
          <w:sz w:val="24"/>
          <w:szCs w:val="24"/>
        </w:rPr>
        <w:t xml:space="preserve"> </w:t>
      </w:r>
      <w:r w:rsidRPr="00E302FE">
        <w:rPr>
          <w:sz w:val="24"/>
          <w:szCs w:val="24"/>
        </w:rPr>
        <w:t>возрастает риск несоответствия совершаемых сделок инвестиционному профилю Клиента. При использовании программ автоследования существуют технические риски (связанные с эксплуатацией программ автоследования, обусловленные возможными ошибками в алгори</w:t>
      </w:r>
      <w:r w:rsidRPr="00E302FE">
        <w:rPr>
          <w:sz w:val="24"/>
          <w:szCs w:val="24"/>
        </w:rPr>
        <w:t>т</w:t>
      </w:r>
      <w:r w:rsidRPr="00E302FE">
        <w:rPr>
          <w:sz w:val="24"/>
          <w:szCs w:val="24"/>
        </w:rPr>
        <w:t>мах, программных кодах, сбоями в оборудовании, используемом для функционирования программ автоследования), реализация которых может причинить убытки Клиенту.</w:t>
      </w:r>
    </w:p>
    <w:p w:rsidR="00E302FE" w:rsidRPr="00E302FE" w:rsidRDefault="00E302FE" w:rsidP="00E302FE">
      <w:pPr>
        <w:ind w:firstLine="709"/>
        <w:jc w:val="both"/>
        <w:rPr>
          <w:sz w:val="24"/>
          <w:szCs w:val="24"/>
        </w:rPr>
      </w:pPr>
    </w:p>
    <w:p w:rsidR="00E302FE" w:rsidRPr="00E302FE" w:rsidRDefault="00E302FE" w:rsidP="00E302FE">
      <w:pPr>
        <w:ind w:firstLine="709"/>
        <w:jc w:val="both"/>
        <w:rPr>
          <w:sz w:val="24"/>
          <w:szCs w:val="24"/>
        </w:rPr>
      </w:pPr>
      <w:r w:rsidRPr="00E302FE">
        <w:rPr>
          <w:sz w:val="24"/>
          <w:szCs w:val="24"/>
        </w:rPr>
        <w:t>Перечень</w:t>
      </w:r>
      <w:r w:rsidR="00FC1409">
        <w:rPr>
          <w:sz w:val="24"/>
          <w:szCs w:val="24"/>
        </w:rPr>
        <w:t xml:space="preserve"> рисков, описанных в настоящей д</w:t>
      </w:r>
      <w:r w:rsidRPr="00E302FE">
        <w:rPr>
          <w:sz w:val="24"/>
          <w:szCs w:val="24"/>
        </w:rPr>
        <w:t>екларации, не является исчерпывающим.</w:t>
      </w:r>
    </w:p>
    <w:p w:rsidR="00E302FE" w:rsidRPr="00E302FE" w:rsidRDefault="00E302FE" w:rsidP="00E302FE">
      <w:pPr>
        <w:ind w:firstLine="709"/>
        <w:jc w:val="both"/>
        <w:rPr>
          <w:sz w:val="24"/>
          <w:szCs w:val="24"/>
        </w:rPr>
      </w:pPr>
    </w:p>
    <w:p w:rsidR="00E302FE" w:rsidRPr="00E302FE" w:rsidRDefault="00E302FE" w:rsidP="00E302FE">
      <w:pPr>
        <w:ind w:firstLine="709"/>
        <w:jc w:val="both"/>
        <w:rPr>
          <w:b/>
          <w:sz w:val="24"/>
          <w:szCs w:val="24"/>
        </w:rPr>
      </w:pPr>
      <w:r w:rsidRPr="00E302FE">
        <w:rPr>
          <w:b/>
          <w:sz w:val="24"/>
          <w:szCs w:val="24"/>
        </w:rPr>
        <w:t>Учитывая вышеизложенное, Клиенту следует внимательно рассмотреть вопрос о том, являются ли услуги, оказываемые Банком как инвестиционным советником п</w:t>
      </w:r>
      <w:r w:rsidRPr="00E302FE">
        <w:rPr>
          <w:b/>
          <w:sz w:val="24"/>
          <w:szCs w:val="24"/>
        </w:rPr>
        <w:t>о</w:t>
      </w:r>
      <w:r w:rsidRPr="00E302FE">
        <w:rPr>
          <w:b/>
          <w:sz w:val="24"/>
          <w:szCs w:val="24"/>
        </w:rPr>
        <w:t>средством программ автоконсультирования и программ автоследования, и возника</w:t>
      </w:r>
      <w:r w:rsidRPr="00E302FE">
        <w:rPr>
          <w:b/>
          <w:sz w:val="24"/>
          <w:szCs w:val="24"/>
        </w:rPr>
        <w:t>ю</w:t>
      </w:r>
      <w:r w:rsidRPr="00E302FE">
        <w:rPr>
          <w:b/>
          <w:sz w:val="24"/>
          <w:szCs w:val="24"/>
        </w:rPr>
        <w:t>щие в связи с этим риски приемлемыми для Клиента с учетом его инвестиционных ц</w:t>
      </w:r>
      <w:r w:rsidRPr="00E302FE">
        <w:rPr>
          <w:b/>
          <w:sz w:val="24"/>
          <w:szCs w:val="24"/>
        </w:rPr>
        <w:t>е</w:t>
      </w:r>
      <w:r w:rsidRPr="00E302FE">
        <w:rPr>
          <w:b/>
          <w:sz w:val="24"/>
          <w:szCs w:val="24"/>
        </w:rPr>
        <w:t>лей и ф</w:t>
      </w:r>
      <w:r w:rsidR="00303AA5">
        <w:rPr>
          <w:b/>
          <w:sz w:val="24"/>
          <w:szCs w:val="24"/>
        </w:rPr>
        <w:t>инансовых возможностей. Данная д</w:t>
      </w:r>
      <w:r w:rsidRPr="00E302FE">
        <w:rPr>
          <w:b/>
          <w:sz w:val="24"/>
          <w:szCs w:val="24"/>
        </w:rPr>
        <w:t>екларация не имеет своей целью заставить Клиента Банка отказаться от заключения договора об инвестиционном консультир</w:t>
      </w:r>
      <w:r w:rsidRPr="00E302FE">
        <w:rPr>
          <w:b/>
          <w:sz w:val="24"/>
          <w:szCs w:val="24"/>
        </w:rPr>
        <w:t>о</w:t>
      </w:r>
      <w:r w:rsidRPr="00E302FE">
        <w:rPr>
          <w:b/>
          <w:sz w:val="24"/>
          <w:szCs w:val="24"/>
        </w:rPr>
        <w:t>вании, в рамках которого индивидуальные инвестиционные рекомендации предоста</w:t>
      </w:r>
      <w:r w:rsidRPr="00E302FE">
        <w:rPr>
          <w:b/>
          <w:sz w:val="24"/>
          <w:szCs w:val="24"/>
        </w:rPr>
        <w:t>в</w:t>
      </w:r>
      <w:r w:rsidRPr="00E302FE">
        <w:rPr>
          <w:b/>
          <w:sz w:val="24"/>
          <w:szCs w:val="24"/>
        </w:rPr>
        <w:t>ляются посредством программ автоследования и (или) программ автоконсультиров</w:t>
      </w:r>
      <w:r w:rsidRPr="00E302FE">
        <w:rPr>
          <w:b/>
          <w:sz w:val="24"/>
          <w:szCs w:val="24"/>
        </w:rPr>
        <w:t>а</w:t>
      </w:r>
      <w:r w:rsidRPr="00E302FE">
        <w:rPr>
          <w:b/>
          <w:sz w:val="24"/>
          <w:szCs w:val="24"/>
        </w:rPr>
        <w:t>ния, а призвана помочь ему оценить риски и ответственно подойти к решению вопроса о выборе своей инвестиционной стратегии и условий договора с Банком.</w:t>
      </w:r>
    </w:p>
    <w:p w:rsidR="00E302FE" w:rsidRPr="00E302FE" w:rsidRDefault="00E302FE" w:rsidP="00E302FE">
      <w:pPr>
        <w:ind w:firstLine="709"/>
        <w:jc w:val="both"/>
        <w:rPr>
          <w:b/>
          <w:sz w:val="24"/>
          <w:szCs w:val="24"/>
        </w:rPr>
      </w:pPr>
    </w:p>
    <w:p w:rsidR="00E302FE" w:rsidRPr="00E302FE" w:rsidRDefault="00E302FE" w:rsidP="00E302FE">
      <w:pPr>
        <w:ind w:firstLine="709"/>
        <w:jc w:val="both"/>
        <w:rPr>
          <w:b/>
          <w:sz w:val="24"/>
          <w:szCs w:val="24"/>
        </w:rPr>
      </w:pPr>
      <w:r w:rsidRPr="00E302FE">
        <w:rPr>
          <w:b/>
          <w:sz w:val="24"/>
          <w:szCs w:val="24"/>
        </w:rPr>
        <w:t>Дополнительно сообщаем следующее:</w:t>
      </w:r>
    </w:p>
    <w:p w:rsidR="00E302FE" w:rsidRPr="00E302FE" w:rsidRDefault="00E302FE" w:rsidP="00E302FE">
      <w:pPr>
        <w:ind w:firstLine="709"/>
        <w:jc w:val="both"/>
        <w:rPr>
          <w:sz w:val="24"/>
          <w:szCs w:val="24"/>
        </w:rPr>
      </w:pPr>
      <w:r w:rsidRPr="00E302FE">
        <w:rPr>
          <w:sz w:val="24"/>
          <w:szCs w:val="24"/>
        </w:rPr>
        <w:t xml:space="preserve">По договору об инвестиционном консультировании Банк оказывает услуги путем предоставления индивидуальных инвестиционных рекомендаций посредством программы для электронных вычислительных машин «ФИНИС Комплекс / </w:t>
      </w:r>
      <w:r w:rsidRPr="00E302FE">
        <w:rPr>
          <w:sz w:val="24"/>
          <w:szCs w:val="24"/>
          <w:lang w:val="en-US"/>
        </w:rPr>
        <w:t>AISFin</w:t>
      </w:r>
      <w:r w:rsidRPr="00E302FE">
        <w:rPr>
          <w:sz w:val="24"/>
          <w:szCs w:val="24"/>
        </w:rPr>
        <w:t xml:space="preserve"> </w:t>
      </w:r>
      <w:r w:rsidRPr="00E302FE">
        <w:rPr>
          <w:sz w:val="24"/>
          <w:szCs w:val="24"/>
          <w:lang w:val="en-US"/>
        </w:rPr>
        <w:t>Complex</w:t>
      </w:r>
      <w:r w:rsidRPr="00E302FE">
        <w:rPr>
          <w:sz w:val="24"/>
          <w:szCs w:val="24"/>
        </w:rPr>
        <w:t>» (далее - Программа), аккредитованной в порядке, установленном Указанием Банка России от 27 н</w:t>
      </w:r>
      <w:r w:rsidRPr="00E302FE">
        <w:rPr>
          <w:sz w:val="24"/>
          <w:szCs w:val="24"/>
        </w:rPr>
        <w:t>о</w:t>
      </w:r>
      <w:r w:rsidRPr="00E302FE">
        <w:rPr>
          <w:sz w:val="24"/>
          <w:szCs w:val="24"/>
        </w:rPr>
        <w:t>ября 2018 г. № 4980-У «О порядке аккредитации программ для электронных вычислител</w:t>
      </w:r>
      <w:r w:rsidRPr="00E302FE">
        <w:rPr>
          <w:sz w:val="24"/>
          <w:szCs w:val="24"/>
        </w:rPr>
        <w:t>ь</w:t>
      </w:r>
      <w:r w:rsidRPr="00E302FE">
        <w:rPr>
          <w:sz w:val="24"/>
          <w:szCs w:val="24"/>
        </w:rPr>
        <w:t>ных машин, посредством которых осуществляется предоставление индивидуальных инв</w:t>
      </w:r>
      <w:r w:rsidRPr="00E302FE">
        <w:rPr>
          <w:sz w:val="24"/>
          <w:szCs w:val="24"/>
        </w:rPr>
        <w:t>е</w:t>
      </w:r>
      <w:r w:rsidRPr="00E302FE">
        <w:rPr>
          <w:sz w:val="24"/>
          <w:szCs w:val="24"/>
        </w:rPr>
        <w:t>стиционных рекомендаций», Национальной ассоциацией участников фондового рынка (НАУФОР) 25 августа 2021 г. Сведения об аккредитации Программы содержатся в реестре аккредитованных программ и опубликованы на странице официального сайта НАУФОР в информационно-телекоммуникационной сети «Интернет»:</w:t>
      </w:r>
    </w:p>
    <w:p w:rsidR="00E302FE" w:rsidRPr="00E302FE" w:rsidRDefault="00E302FE" w:rsidP="00E302FE">
      <w:pPr>
        <w:ind w:firstLine="709"/>
        <w:jc w:val="both"/>
        <w:rPr>
          <w:sz w:val="24"/>
          <w:szCs w:val="24"/>
        </w:rPr>
      </w:pPr>
      <w:r w:rsidRPr="00E302FE">
        <w:rPr>
          <w:sz w:val="24"/>
          <w:szCs w:val="24"/>
        </w:rPr>
        <w:t>https://www.naufor.ru/tree.asp?n=16673</w:t>
      </w:r>
    </w:p>
    <w:p w:rsidR="00E302FE" w:rsidRPr="00E302FE" w:rsidRDefault="00E302FE" w:rsidP="00E302FE">
      <w:pPr>
        <w:ind w:firstLine="709"/>
        <w:jc w:val="both"/>
        <w:rPr>
          <w:sz w:val="24"/>
          <w:szCs w:val="24"/>
        </w:rPr>
      </w:pPr>
      <w:r w:rsidRPr="00E302FE">
        <w:rPr>
          <w:sz w:val="24"/>
          <w:szCs w:val="24"/>
        </w:rPr>
        <w:t>(Полномочия по аккредитации программ инвестиционного консультирования перед</w:t>
      </w:r>
      <w:r w:rsidRPr="00E302FE">
        <w:rPr>
          <w:sz w:val="24"/>
          <w:szCs w:val="24"/>
        </w:rPr>
        <w:t>а</w:t>
      </w:r>
      <w:r w:rsidRPr="00E302FE">
        <w:rPr>
          <w:sz w:val="24"/>
          <w:szCs w:val="24"/>
        </w:rPr>
        <w:t>ны Банком России НАУФОР в соответствии с пунктом 6 статьи 6.2 Федерального закона от 22 апреля 1996 г. № 39-ФЗ «О рынке ценных бумаг» в апреле 2019 года (пресс-релиз Банка России от 9 апреля 2019 г.)).</w:t>
      </w:r>
    </w:p>
    <w:p w:rsidR="00E302FE" w:rsidRPr="00E302FE" w:rsidRDefault="00E302FE" w:rsidP="00E302FE">
      <w:pPr>
        <w:ind w:firstLine="709"/>
        <w:jc w:val="both"/>
        <w:rPr>
          <w:sz w:val="24"/>
          <w:szCs w:val="24"/>
        </w:rPr>
      </w:pPr>
      <w:r w:rsidRPr="00E302FE">
        <w:rPr>
          <w:sz w:val="24"/>
          <w:szCs w:val="24"/>
        </w:rPr>
        <w:t>Функционал Программы: автоследование.</w:t>
      </w:r>
    </w:p>
    <w:p w:rsidR="00E302FE" w:rsidRPr="00E302FE" w:rsidRDefault="00E302FE" w:rsidP="00E302FE">
      <w:pPr>
        <w:ind w:firstLine="709"/>
        <w:jc w:val="both"/>
        <w:rPr>
          <w:sz w:val="24"/>
          <w:szCs w:val="24"/>
        </w:rPr>
      </w:pPr>
      <w:r w:rsidRPr="00E302FE">
        <w:rPr>
          <w:sz w:val="24"/>
          <w:szCs w:val="24"/>
        </w:rPr>
        <w:t>Банк использует Программу в качестве программы автоследования, то есть програ</w:t>
      </w:r>
      <w:r w:rsidRPr="00E302FE">
        <w:rPr>
          <w:sz w:val="24"/>
          <w:szCs w:val="24"/>
        </w:rPr>
        <w:t>м</w:t>
      </w:r>
      <w:r w:rsidRPr="00E302FE">
        <w:rPr>
          <w:sz w:val="24"/>
          <w:szCs w:val="24"/>
        </w:rPr>
        <w:t>мы для электронных вычислительных машин, позволяющей автоматизированным способом преобразовывать предоставленную индивидуальную инвестиционную рекомендацию в п</w:t>
      </w:r>
      <w:r w:rsidRPr="00E302FE">
        <w:rPr>
          <w:sz w:val="24"/>
          <w:szCs w:val="24"/>
        </w:rPr>
        <w:t>о</w:t>
      </w:r>
      <w:r w:rsidRPr="00E302FE">
        <w:rPr>
          <w:sz w:val="24"/>
          <w:szCs w:val="24"/>
        </w:rPr>
        <w:t>ручение брокеру на совершение сделки с ценной бумагой, предусмотренной индивидуальной инвестиционной рекомендацией, без непосредственного участия Клиента.</w:t>
      </w:r>
    </w:p>
    <w:p w:rsidR="00E302FE" w:rsidRPr="00E302FE" w:rsidRDefault="00E302FE" w:rsidP="00E302FE">
      <w:pPr>
        <w:ind w:firstLine="709"/>
        <w:jc w:val="both"/>
        <w:rPr>
          <w:sz w:val="24"/>
          <w:szCs w:val="24"/>
        </w:rPr>
      </w:pPr>
      <w:r w:rsidRPr="00E302FE">
        <w:rPr>
          <w:sz w:val="24"/>
          <w:szCs w:val="24"/>
        </w:rPr>
        <w:t>Неисключительное право использования Программы предоставлено Банку в соотве</w:t>
      </w:r>
      <w:r w:rsidRPr="00E302FE">
        <w:rPr>
          <w:sz w:val="24"/>
          <w:szCs w:val="24"/>
        </w:rPr>
        <w:t>т</w:t>
      </w:r>
      <w:r w:rsidRPr="00E302FE">
        <w:rPr>
          <w:sz w:val="24"/>
          <w:szCs w:val="24"/>
        </w:rPr>
        <w:t>ствии с договором о предоставлении простой лицензии на использование программы ФИНИС (лицензионным договором).</w:t>
      </w:r>
    </w:p>
    <w:p w:rsidR="00E302FE" w:rsidRPr="00E302FE" w:rsidRDefault="00E302FE" w:rsidP="00E302FE">
      <w:pPr>
        <w:ind w:firstLine="709"/>
        <w:jc w:val="both"/>
        <w:rPr>
          <w:sz w:val="24"/>
          <w:szCs w:val="24"/>
        </w:rPr>
      </w:pPr>
      <w:r w:rsidRPr="00E302FE">
        <w:rPr>
          <w:sz w:val="24"/>
          <w:szCs w:val="24"/>
        </w:rPr>
        <w:t>Риски, связанные с использованием Программы, включают в себя общие риски, ук</w:t>
      </w:r>
      <w:r w:rsidRPr="00E302FE">
        <w:rPr>
          <w:sz w:val="24"/>
          <w:szCs w:val="24"/>
        </w:rPr>
        <w:t>а</w:t>
      </w:r>
      <w:r w:rsidRPr="00E302FE">
        <w:rPr>
          <w:sz w:val="24"/>
          <w:szCs w:val="24"/>
        </w:rPr>
        <w:t xml:space="preserve">занные в </w:t>
      </w:r>
      <w:r w:rsidR="00AA32C5">
        <w:rPr>
          <w:sz w:val="24"/>
          <w:szCs w:val="24"/>
        </w:rPr>
        <w:t>д</w:t>
      </w:r>
      <w:r w:rsidRPr="00E302FE">
        <w:rPr>
          <w:sz w:val="24"/>
          <w:szCs w:val="24"/>
        </w:rPr>
        <w:t>екларации, перечень которых тем не менее не является исчерпывающим ввиду многообразия ситуаций, которые могут возникать при использовании Программы, в том числе технические системные риски (неисправности оборудования, сбои в работе програм</w:t>
      </w:r>
      <w:r w:rsidRPr="00E302FE">
        <w:rPr>
          <w:sz w:val="24"/>
          <w:szCs w:val="24"/>
        </w:rPr>
        <w:t>м</w:t>
      </w:r>
      <w:r w:rsidRPr="00E302FE">
        <w:rPr>
          <w:sz w:val="24"/>
          <w:szCs w:val="24"/>
        </w:rPr>
        <w:t>ного обеспечения, кратковременные прерывания функционирования программного обесп</w:t>
      </w:r>
      <w:r w:rsidRPr="00E302FE">
        <w:rPr>
          <w:sz w:val="24"/>
          <w:szCs w:val="24"/>
        </w:rPr>
        <w:t>е</w:t>
      </w:r>
      <w:r w:rsidRPr="00E302FE">
        <w:rPr>
          <w:sz w:val="24"/>
          <w:szCs w:val="24"/>
        </w:rPr>
        <w:lastRenderedPageBreak/>
        <w:t>чения, проблемы с каналами связи, энергоснабжением, иные причины технического характ</w:t>
      </w:r>
      <w:r w:rsidRPr="00E302FE">
        <w:rPr>
          <w:sz w:val="24"/>
          <w:szCs w:val="24"/>
        </w:rPr>
        <w:t>е</w:t>
      </w:r>
      <w:r w:rsidRPr="00E302FE">
        <w:rPr>
          <w:sz w:val="24"/>
          <w:szCs w:val="24"/>
        </w:rPr>
        <w:t>ра), риск несанкционированного доступа третьих лиц.</w:t>
      </w:r>
    </w:p>
    <w:p w:rsidR="00E302FE" w:rsidRPr="00E302FE" w:rsidRDefault="00E302FE" w:rsidP="00E302FE">
      <w:pPr>
        <w:ind w:firstLine="709"/>
        <w:jc w:val="both"/>
        <w:rPr>
          <w:sz w:val="24"/>
          <w:szCs w:val="24"/>
        </w:rPr>
      </w:pPr>
      <w:r w:rsidRPr="00E302FE">
        <w:rPr>
          <w:sz w:val="24"/>
          <w:szCs w:val="24"/>
        </w:rPr>
        <w:t>Риски, связанные с использованием Программы, также включают возможные огран</w:t>
      </w:r>
      <w:r w:rsidRPr="00E302FE">
        <w:rPr>
          <w:sz w:val="24"/>
          <w:szCs w:val="24"/>
        </w:rPr>
        <w:t>и</w:t>
      </w:r>
      <w:r w:rsidRPr="00E302FE">
        <w:rPr>
          <w:sz w:val="24"/>
          <w:szCs w:val="24"/>
        </w:rPr>
        <w:t>чения на совершение операций с активами Клиента, которые могут быть обусловлены в том числе применением мер, установленных законодательством Российской Федерации, корп</w:t>
      </w:r>
      <w:r w:rsidRPr="00E302FE">
        <w:rPr>
          <w:sz w:val="24"/>
          <w:szCs w:val="24"/>
        </w:rPr>
        <w:t>о</w:t>
      </w:r>
      <w:r w:rsidRPr="00E302FE">
        <w:rPr>
          <w:sz w:val="24"/>
          <w:szCs w:val="24"/>
        </w:rPr>
        <w:t>ративными действиями.</w:t>
      </w:r>
    </w:p>
    <w:p w:rsidR="00E302FE" w:rsidRPr="00E302FE" w:rsidRDefault="00E302FE" w:rsidP="00E302FE">
      <w:pPr>
        <w:ind w:firstLine="709"/>
        <w:jc w:val="both"/>
        <w:rPr>
          <w:sz w:val="24"/>
          <w:szCs w:val="24"/>
        </w:rPr>
      </w:pPr>
      <w:r w:rsidRPr="00E302FE">
        <w:rPr>
          <w:sz w:val="24"/>
          <w:szCs w:val="24"/>
        </w:rPr>
        <w:t>Клиент осознает, что между формированием и предоставлением индивидуальной и</w:t>
      </w:r>
      <w:r w:rsidRPr="00E302FE">
        <w:rPr>
          <w:sz w:val="24"/>
          <w:szCs w:val="24"/>
        </w:rPr>
        <w:t>н</w:t>
      </w:r>
      <w:r w:rsidRPr="00E302FE">
        <w:rPr>
          <w:sz w:val="24"/>
          <w:szCs w:val="24"/>
        </w:rPr>
        <w:t>вестиционной рекомендации, преобразованием рекомендации в поручение и его исполнен</w:t>
      </w:r>
      <w:r w:rsidRPr="00E302FE">
        <w:rPr>
          <w:sz w:val="24"/>
          <w:szCs w:val="24"/>
        </w:rPr>
        <w:t>и</w:t>
      </w:r>
      <w:r w:rsidRPr="00E302FE">
        <w:rPr>
          <w:sz w:val="24"/>
          <w:szCs w:val="24"/>
        </w:rPr>
        <w:t>ем (выставлением заявки в торговой системе, исполнением поручения), может быть некот</w:t>
      </w:r>
      <w:r w:rsidRPr="00E302FE">
        <w:rPr>
          <w:sz w:val="24"/>
          <w:szCs w:val="24"/>
        </w:rPr>
        <w:t>о</w:t>
      </w:r>
      <w:r w:rsidRPr="00E302FE">
        <w:rPr>
          <w:sz w:val="24"/>
          <w:szCs w:val="24"/>
        </w:rPr>
        <w:t>рая временная разница, в результате чего цена сделки с ценной бумагой может измениться относительно определенной в индивидуальной инвестиционной рекомендации цены сделки. Также Клиент осознает, что есть ограничения в возможности одномоментного исполнения заявок сразу для всех Клиентов – получателей соответствующих индивидуальных инвест</w:t>
      </w:r>
      <w:r w:rsidRPr="00E302FE">
        <w:rPr>
          <w:sz w:val="24"/>
          <w:szCs w:val="24"/>
        </w:rPr>
        <w:t>и</w:t>
      </w:r>
      <w:r w:rsidRPr="00E302FE">
        <w:rPr>
          <w:sz w:val="24"/>
          <w:szCs w:val="24"/>
        </w:rPr>
        <w:t>ционных рекомендаций и на весь требуемый объем.</w:t>
      </w:r>
    </w:p>
    <w:p w:rsidR="00AA32C5" w:rsidRDefault="00AA32C5" w:rsidP="00E302FE">
      <w:pPr>
        <w:ind w:firstLine="709"/>
        <w:jc w:val="both"/>
        <w:rPr>
          <w:b/>
          <w:i/>
          <w:sz w:val="24"/>
          <w:szCs w:val="24"/>
        </w:rPr>
      </w:pPr>
    </w:p>
    <w:p w:rsidR="00E302FE" w:rsidRPr="00E302FE" w:rsidRDefault="00E302FE" w:rsidP="00E302FE">
      <w:pPr>
        <w:ind w:firstLine="709"/>
        <w:jc w:val="both"/>
        <w:rPr>
          <w:b/>
          <w:i/>
          <w:sz w:val="24"/>
          <w:szCs w:val="24"/>
        </w:rPr>
      </w:pPr>
      <w:r w:rsidRPr="00E302FE">
        <w:rPr>
          <w:b/>
          <w:i/>
          <w:sz w:val="24"/>
          <w:szCs w:val="24"/>
        </w:rPr>
        <w:t>Риски, связанные с использованием программ автоследования</w:t>
      </w:r>
    </w:p>
    <w:p w:rsidR="00E302FE" w:rsidRDefault="00E302FE" w:rsidP="00E302FE">
      <w:pPr>
        <w:ind w:firstLine="709"/>
        <w:jc w:val="both"/>
        <w:rPr>
          <w:sz w:val="24"/>
          <w:szCs w:val="24"/>
        </w:rPr>
      </w:pPr>
      <w:r w:rsidRPr="00E302FE">
        <w:rPr>
          <w:sz w:val="24"/>
          <w:szCs w:val="24"/>
        </w:rPr>
        <w:t>В связи с использованием Программы Клиент также несет следующие риски:</w:t>
      </w:r>
    </w:p>
    <w:tbl>
      <w:tblPr>
        <w:tblW w:w="9747" w:type="dxa"/>
        <w:tblLook w:val="04A0"/>
      </w:tblPr>
      <w:tblGrid>
        <w:gridCol w:w="817"/>
        <w:gridCol w:w="296"/>
        <w:gridCol w:w="8634"/>
      </w:tblGrid>
      <w:tr w:rsidR="00AA32C5" w:rsidRPr="00072483" w:rsidTr="00AF3CD9">
        <w:tc>
          <w:tcPr>
            <w:tcW w:w="817" w:type="dxa"/>
          </w:tcPr>
          <w:p w:rsidR="00AA32C5" w:rsidRPr="00072483" w:rsidRDefault="00AA32C5" w:rsidP="00AF3CD9">
            <w:pPr>
              <w:pStyle w:val="Default"/>
              <w:jc w:val="both"/>
              <w:rPr>
                <w:rFonts w:ascii="Times New Roman" w:hAnsi="Times New Roman" w:cs="Times New Roman"/>
                <w:bCs/>
              </w:rPr>
            </w:pPr>
          </w:p>
        </w:tc>
        <w:tc>
          <w:tcPr>
            <w:tcW w:w="296" w:type="dxa"/>
          </w:tcPr>
          <w:p w:rsidR="00AA32C5" w:rsidRPr="00072483" w:rsidRDefault="00AA32C5" w:rsidP="00AF3CD9">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AA32C5" w:rsidRPr="00072483" w:rsidRDefault="00AA32C5" w:rsidP="00AF3CD9">
            <w:pPr>
              <w:jc w:val="both"/>
              <w:rPr>
                <w:bCs/>
                <w:sz w:val="24"/>
                <w:szCs w:val="24"/>
              </w:rPr>
            </w:pPr>
            <w:r w:rsidRPr="00E302FE">
              <w:rPr>
                <w:sz w:val="24"/>
                <w:szCs w:val="24"/>
              </w:rPr>
              <w:t>риск, связанный c точностью следования - разницы в цене и иных параметрах, указанных в индивидуальной инвестиционной рекомендации, с параметрами и</w:t>
            </w:r>
            <w:r w:rsidRPr="00E302FE">
              <w:rPr>
                <w:sz w:val="24"/>
                <w:szCs w:val="24"/>
              </w:rPr>
              <w:t>с</w:t>
            </w:r>
            <w:r w:rsidRPr="00E302FE">
              <w:rPr>
                <w:sz w:val="24"/>
                <w:szCs w:val="24"/>
              </w:rPr>
              <w:t>полнения поручения Банку, в которое автоматически преобразуется предоста</w:t>
            </w:r>
            <w:r w:rsidRPr="00E302FE">
              <w:rPr>
                <w:sz w:val="24"/>
                <w:szCs w:val="24"/>
              </w:rPr>
              <w:t>в</w:t>
            </w:r>
            <w:r w:rsidRPr="00E302FE">
              <w:rPr>
                <w:sz w:val="24"/>
                <w:szCs w:val="24"/>
              </w:rPr>
              <w:t>ленная индивидуальная инвестиционная рекомендация посредством Программы. Риск, связанный с точностью следования, включает возможность возникновения ситуации, когда поручение Банку во исполнение индивидуальной инвестицио</w:t>
            </w:r>
            <w:r w:rsidRPr="00E302FE">
              <w:rPr>
                <w:sz w:val="24"/>
                <w:szCs w:val="24"/>
              </w:rPr>
              <w:t>н</w:t>
            </w:r>
            <w:r w:rsidRPr="00E302FE">
              <w:rPr>
                <w:sz w:val="24"/>
                <w:szCs w:val="24"/>
              </w:rPr>
              <w:t>ной рекомендации, сформированной с использованием Программы, не может быть исполнено полностью либо частично в силу объективных причин, незав</w:t>
            </w:r>
            <w:r w:rsidRPr="00E302FE">
              <w:rPr>
                <w:sz w:val="24"/>
                <w:szCs w:val="24"/>
              </w:rPr>
              <w:t>и</w:t>
            </w:r>
            <w:r w:rsidRPr="00E302FE">
              <w:rPr>
                <w:sz w:val="24"/>
                <w:szCs w:val="24"/>
              </w:rPr>
              <w:t>сящих от Банка. Указанная разница может заметно влиять на результаты инв</w:t>
            </w:r>
            <w:r w:rsidRPr="00E302FE">
              <w:rPr>
                <w:sz w:val="24"/>
                <w:szCs w:val="24"/>
              </w:rPr>
              <w:t>е</w:t>
            </w:r>
            <w:r w:rsidRPr="00E302FE">
              <w:rPr>
                <w:sz w:val="24"/>
                <w:szCs w:val="24"/>
              </w:rPr>
              <w:t>стирования средств Клиента и привести к снижению доходности, которая могла бы быть получена Клиентом при исполнении всех индивидуальных инвестиц</w:t>
            </w:r>
            <w:r w:rsidRPr="00E302FE">
              <w:rPr>
                <w:sz w:val="24"/>
                <w:szCs w:val="24"/>
              </w:rPr>
              <w:t>и</w:t>
            </w:r>
            <w:r w:rsidRPr="00E302FE">
              <w:rPr>
                <w:sz w:val="24"/>
                <w:szCs w:val="24"/>
              </w:rPr>
              <w:t>онных рекомендаций в соответствии с параметрами, указанными в индивидуал</w:t>
            </w:r>
            <w:r w:rsidRPr="00E302FE">
              <w:rPr>
                <w:sz w:val="24"/>
                <w:szCs w:val="24"/>
              </w:rPr>
              <w:t>ь</w:t>
            </w:r>
            <w:r w:rsidRPr="00E302FE">
              <w:rPr>
                <w:sz w:val="24"/>
                <w:szCs w:val="24"/>
              </w:rPr>
              <w:t>ной инвестиционной рекомендации, или привести к убыткам;</w:t>
            </w:r>
          </w:p>
        </w:tc>
      </w:tr>
      <w:tr w:rsidR="00AA32C5" w:rsidRPr="00292985" w:rsidTr="00AF3CD9">
        <w:tc>
          <w:tcPr>
            <w:tcW w:w="817" w:type="dxa"/>
          </w:tcPr>
          <w:p w:rsidR="00AA32C5" w:rsidRPr="00072483" w:rsidRDefault="00AA32C5" w:rsidP="00AF3CD9">
            <w:pPr>
              <w:pStyle w:val="Default"/>
              <w:jc w:val="both"/>
              <w:rPr>
                <w:rFonts w:ascii="Times New Roman" w:hAnsi="Times New Roman" w:cs="Times New Roman"/>
                <w:bCs/>
              </w:rPr>
            </w:pPr>
          </w:p>
        </w:tc>
        <w:tc>
          <w:tcPr>
            <w:tcW w:w="296" w:type="dxa"/>
          </w:tcPr>
          <w:p w:rsidR="00AA32C5" w:rsidRPr="00072483" w:rsidRDefault="00AA32C5" w:rsidP="00AF3CD9">
            <w:pPr>
              <w:pStyle w:val="Default"/>
              <w:jc w:val="both"/>
              <w:rPr>
                <w:rFonts w:ascii="Times New Roman" w:hAnsi="Times New Roman" w:cs="Times New Roman"/>
                <w:bCs/>
              </w:rPr>
            </w:pPr>
            <w:r w:rsidRPr="00072483">
              <w:rPr>
                <w:rFonts w:ascii="Times New Roman" w:hAnsi="Times New Roman" w:cs="Times New Roman"/>
                <w:bCs/>
              </w:rPr>
              <w:t>-</w:t>
            </w:r>
          </w:p>
        </w:tc>
        <w:tc>
          <w:tcPr>
            <w:tcW w:w="8634" w:type="dxa"/>
          </w:tcPr>
          <w:p w:rsidR="00AA32C5" w:rsidRPr="00292985" w:rsidRDefault="00AA32C5" w:rsidP="00AF3CD9">
            <w:pPr>
              <w:jc w:val="both"/>
              <w:rPr>
                <w:bCs/>
                <w:sz w:val="24"/>
                <w:szCs w:val="24"/>
              </w:rPr>
            </w:pPr>
            <w:r w:rsidRPr="00E302FE">
              <w:rPr>
                <w:sz w:val="24"/>
                <w:szCs w:val="24"/>
              </w:rPr>
              <w:t>риск, связанный с возможным получением одними Клиентами статистического преимущества в цене исполнения поручений, автоматически преобразованных в такие поручения из индивидуальных инвестиционных рекомендаций с использ</w:t>
            </w:r>
            <w:r w:rsidRPr="00E302FE">
              <w:rPr>
                <w:sz w:val="24"/>
                <w:szCs w:val="24"/>
              </w:rPr>
              <w:t>о</w:t>
            </w:r>
            <w:r w:rsidRPr="00E302FE">
              <w:rPr>
                <w:sz w:val="24"/>
                <w:szCs w:val="24"/>
              </w:rPr>
              <w:t>ванием Программы;</w:t>
            </w:r>
          </w:p>
        </w:tc>
      </w:tr>
      <w:tr w:rsidR="00AA32C5" w:rsidRPr="00292985" w:rsidTr="00AF3CD9">
        <w:tc>
          <w:tcPr>
            <w:tcW w:w="817" w:type="dxa"/>
          </w:tcPr>
          <w:p w:rsidR="00AA32C5" w:rsidRPr="00072483" w:rsidRDefault="00AA32C5" w:rsidP="00AF3CD9">
            <w:pPr>
              <w:pStyle w:val="Default"/>
              <w:jc w:val="both"/>
              <w:rPr>
                <w:rFonts w:ascii="Times New Roman" w:hAnsi="Times New Roman" w:cs="Times New Roman"/>
                <w:bCs/>
              </w:rPr>
            </w:pPr>
          </w:p>
        </w:tc>
        <w:tc>
          <w:tcPr>
            <w:tcW w:w="296" w:type="dxa"/>
          </w:tcPr>
          <w:p w:rsidR="00AA32C5" w:rsidRPr="00072483" w:rsidRDefault="00AA32C5" w:rsidP="00AF3CD9">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AA32C5" w:rsidRPr="00292985" w:rsidRDefault="00AA32C5" w:rsidP="00AF3CD9">
            <w:pPr>
              <w:jc w:val="both"/>
              <w:rPr>
                <w:bCs/>
                <w:sz w:val="24"/>
                <w:szCs w:val="24"/>
              </w:rPr>
            </w:pPr>
            <w:r w:rsidRPr="00E302FE">
              <w:rPr>
                <w:sz w:val="24"/>
                <w:szCs w:val="24"/>
              </w:rPr>
              <w:t>риск, связанный с оказанием возможного негативного ценового эффекта на цены финансовых инструментов, вызванного автоматическим преобразованием инд</w:t>
            </w:r>
            <w:r w:rsidRPr="00E302FE">
              <w:rPr>
                <w:sz w:val="24"/>
                <w:szCs w:val="24"/>
              </w:rPr>
              <w:t>и</w:t>
            </w:r>
            <w:r w:rsidRPr="00E302FE">
              <w:rPr>
                <w:sz w:val="24"/>
                <w:szCs w:val="24"/>
              </w:rPr>
              <w:t>видуальных инвестиционных рекомендаций в поручения с использованием Пр</w:t>
            </w:r>
            <w:r w:rsidRPr="00E302FE">
              <w:rPr>
                <w:sz w:val="24"/>
                <w:szCs w:val="24"/>
              </w:rPr>
              <w:t>о</w:t>
            </w:r>
            <w:r w:rsidRPr="00E302FE">
              <w:rPr>
                <w:sz w:val="24"/>
                <w:szCs w:val="24"/>
              </w:rPr>
              <w:t>граммы</w:t>
            </w:r>
            <w:r>
              <w:rPr>
                <w:sz w:val="24"/>
                <w:szCs w:val="24"/>
              </w:rPr>
              <w:t>;</w:t>
            </w:r>
          </w:p>
        </w:tc>
      </w:tr>
      <w:tr w:rsidR="00AA32C5" w:rsidRPr="00292985" w:rsidTr="00AF3CD9">
        <w:tc>
          <w:tcPr>
            <w:tcW w:w="817" w:type="dxa"/>
          </w:tcPr>
          <w:p w:rsidR="00AA32C5" w:rsidRPr="00072483" w:rsidRDefault="00AA32C5" w:rsidP="00AF3CD9">
            <w:pPr>
              <w:pStyle w:val="Default"/>
              <w:jc w:val="both"/>
              <w:rPr>
                <w:rFonts w:ascii="Times New Roman" w:hAnsi="Times New Roman" w:cs="Times New Roman"/>
                <w:bCs/>
              </w:rPr>
            </w:pPr>
          </w:p>
        </w:tc>
        <w:tc>
          <w:tcPr>
            <w:tcW w:w="296" w:type="dxa"/>
          </w:tcPr>
          <w:p w:rsidR="00AA32C5" w:rsidRPr="00072483" w:rsidRDefault="00AA32C5" w:rsidP="00AF3CD9">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AA32C5" w:rsidRPr="00292985" w:rsidRDefault="00AA32C5" w:rsidP="00AF3CD9">
            <w:pPr>
              <w:jc w:val="both"/>
              <w:rPr>
                <w:bCs/>
                <w:sz w:val="24"/>
                <w:szCs w:val="24"/>
              </w:rPr>
            </w:pPr>
            <w:r w:rsidRPr="00E302FE">
              <w:rPr>
                <w:sz w:val="24"/>
                <w:szCs w:val="24"/>
              </w:rPr>
              <w:t>риск, связанный с отсутствием доступа Клиента к Программе;</w:t>
            </w:r>
          </w:p>
        </w:tc>
      </w:tr>
      <w:tr w:rsidR="00AA32C5" w:rsidRPr="00292985" w:rsidTr="00AF3CD9">
        <w:tc>
          <w:tcPr>
            <w:tcW w:w="817" w:type="dxa"/>
          </w:tcPr>
          <w:p w:rsidR="00AA32C5" w:rsidRPr="00072483" w:rsidRDefault="00AA32C5" w:rsidP="00AF3CD9">
            <w:pPr>
              <w:pStyle w:val="Default"/>
              <w:jc w:val="both"/>
              <w:rPr>
                <w:rFonts w:ascii="Times New Roman" w:hAnsi="Times New Roman" w:cs="Times New Roman"/>
                <w:bCs/>
              </w:rPr>
            </w:pPr>
          </w:p>
        </w:tc>
        <w:tc>
          <w:tcPr>
            <w:tcW w:w="296" w:type="dxa"/>
          </w:tcPr>
          <w:p w:rsidR="00AA32C5" w:rsidRPr="00072483" w:rsidRDefault="00AA32C5" w:rsidP="00AF3CD9">
            <w:pPr>
              <w:pStyle w:val="Default"/>
              <w:jc w:val="both"/>
              <w:rPr>
                <w:rFonts w:ascii="Times New Roman" w:hAnsi="Times New Roman" w:cs="Times New Roman"/>
                <w:bCs/>
              </w:rPr>
            </w:pPr>
            <w:r>
              <w:rPr>
                <w:rFonts w:ascii="Times New Roman" w:hAnsi="Times New Roman" w:cs="Times New Roman"/>
                <w:bCs/>
              </w:rPr>
              <w:t>-</w:t>
            </w:r>
          </w:p>
        </w:tc>
        <w:tc>
          <w:tcPr>
            <w:tcW w:w="8634" w:type="dxa"/>
          </w:tcPr>
          <w:p w:rsidR="00AA32C5" w:rsidRPr="00292985" w:rsidRDefault="00AA32C5" w:rsidP="00AF3CD9">
            <w:pPr>
              <w:jc w:val="both"/>
              <w:rPr>
                <w:bCs/>
                <w:sz w:val="24"/>
                <w:szCs w:val="24"/>
              </w:rPr>
            </w:pPr>
            <w:r w:rsidRPr="00E302FE">
              <w:rPr>
                <w:sz w:val="24"/>
                <w:szCs w:val="24"/>
              </w:rPr>
              <w:t>риск, связанный с возможностью ограничения инвестиционным советником до</w:t>
            </w:r>
            <w:r w:rsidRPr="00E302FE">
              <w:rPr>
                <w:sz w:val="24"/>
                <w:szCs w:val="24"/>
              </w:rPr>
              <w:t>с</w:t>
            </w:r>
            <w:r w:rsidRPr="00E302FE">
              <w:rPr>
                <w:sz w:val="24"/>
                <w:szCs w:val="24"/>
              </w:rPr>
              <w:t>тупа клиентов к сервису автоследования по достижении предельно установле</w:t>
            </w:r>
            <w:r w:rsidRPr="00E302FE">
              <w:rPr>
                <w:sz w:val="24"/>
                <w:szCs w:val="24"/>
              </w:rPr>
              <w:t>н</w:t>
            </w:r>
            <w:r w:rsidRPr="00E302FE">
              <w:rPr>
                <w:sz w:val="24"/>
                <w:szCs w:val="24"/>
              </w:rPr>
              <w:t>ных значений (например, суммарного размера портфеля клиентов, являющихся пользователями программы автоследования в рамках различных инвестицио</w:t>
            </w:r>
            <w:r w:rsidRPr="00E302FE">
              <w:rPr>
                <w:sz w:val="24"/>
                <w:szCs w:val="24"/>
              </w:rPr>
              <w:t>н</w:t>
            </w:r>
            <w:r w:rsidRPr="00E302FE">
              <w:rPr>
                <w:sz w:val="24"/>
                <w:szCs w:val="24"/>
              </w:rPr>
              <w:t>ных стратегий), либо в силу иных обстоятельств.</w:t>
            </w:r>
          </w:p>
        </w:tc>
      </w:tr>
    </w:tbl>
    <w:p w:rsidR="00E302FE" w:rsidRPr="00E302FE" w:rsidRDefault="00E302FE" w:rsidP="00E302FE">
      <w:pPr>
        <w:ind w:firstLine="709"/>
        <w:jc w:val="both"/>
        <w:rPr>
          <w:sz w:val="24"/>
          <w:szCs w:val="24"/>
        </w:rPr>
      </w:pPr>
      <w:r w:rsidRPr="00E302FE">
        <w:rPr>
          <w:sz w:val="24"/>
          <w:szCs w:val="24"/>
        </w:rPr>
        <w:lastRenderedPageBreak/>
        <w:t>К моменту исполнения Банком поручения Клиента индивидуальная инвестиционная рекомендация может стать неактуальной (срок действия индивидуальной инвестиционной рекомендации истек), что может привести к ситуации, при которой Клиент может не дости</w:t>
      </w:r>
      <w:r w:rsidRPr="00E302FE">
        <w:rPr>
          <w:sz w:val="24"/>
          <w:szCs w:val="24"/>
        </w:rPr>
        <w:t>г</w:t>
      </w:r>
      <w:r w:rsidRPr="00E302FE">
        <w:rPr>
          <w:sz w:val="24"/>
          <w:szCs w:val="24"/>
        </w:rPr>
        <w:t>нуть инвестиционного результата на основе индивидуальных инвестиционных рекоменд</w:t>
      </w:r>
      <w:r w:rsidRPr="00E302FE">
        <w:rPr>
          <w:sz w:val="24"/>
          <w:szCs w:val="24"/>
        </w:rPr>
        <w:t>а</w:t>
      </w:r>
      <w:r w:rsidRPr="00E302FE">
        <w:rPr>
          <w:sz w:val="24"/>
          <w:szCs w:val="24"/>
        </w:rPr>
        <w:t>ций, предоставленных с использованием Программы, в силу потенциально позднего испо</w:t>
      </w:r>
      <w:r w:rsidRPr="00E302FE">
        <w:rPr>
          <w:sz w:val="24"/>
          <w:szCs w:val="24"/>
        </w:rPr>
        <w:t>л</w:t>
      </w:r>
      <w:r w:rsidRPr="00E302FE">
        <w:rPr>
          <w:sz w:val="24"/>
          <w:szCs w:val="24"/>
        </w:rPr>
        <w:t>нения Банком поручения.</w:t>
      </w:r>
    </w:p>
    <w:p w:rsidR="00E302FE" w:rsidRPr="00E302FE" w:rsidRDefault="00E302FE" w:rsidP="00E302FE">
      <w:pPr>
        <w:ind w:firstLine="709"/>
        <w:jc w:val="both"/>
        <w:rPr>
          <w:sz w:val="24"/>
          <w:szCs w:val="24"/>
        </w:rPr>
      </w:pPr>
      <w:r w:rsidRPr="00E302FE">
        <w:rPr>
          <w:sz w:val="24"/>
          <w:szCs w:val="24"/>
        </w:rPr>
        <w:t>Клиент должен понимать, что на инвестиционный результат Клиента при совершении сделок в соответствии с индивидуальными инвестиционными рекомендациями, предоста</w:t>
      </w:r>
      <w:r w:rsidRPr="00E302FE">
        <w:rPr>
          <w:sz w:val="24"/>
          <w:szCs w:val="24"/>
        </w:rPr>
        <w:t>в</w:t>
      </w:r>
      <w:r w:rsidRPr="00E302FE">
        <w:rPr>
          <w:sz w:val="24"/>
          <w:szCs w:val="24"/>
        </w:rPr>
        <w:t>ленными Клиенту инвестиционным советником (Банком) с использованием Программы, м</w:t>
      </w:r>
      <w:r w:rsidRPr="00E302FE">
        <w:rPr>
          <w:sz w:val="24"/>
          <w:szCs w:val="24"/>
        </w:rPr>
        <w:t>о</w:t>
      </w:r>
      <w:r w:rsidRPr="00E302FE">
        <w:rPr>
          <w:sz w:val="24"/>
          <w:szCs w:val="24"/>
        </w:rPr>
        <w:t>жет потенциально оказать влияние состав и структура инвестиционного портфеля Клиента, сформированного на основе индивидуальной инвестиционной рекомендации, исполнение / частичное исполнение / неисполнение поручений, преобразованных Программой из индив</w:t>
      </w:r>
      <w:r w:rsidRPr="00E302FE">
        <w:rPr>
          <w:sz w:val="24"/>
          <w:szCs w:val="24"/>
        </w:rPr>
        <w:t>и</w:t>
      </w:r>
      <w:r w:rsidRPr="00E302FE">
        <w:rPr>
          <w:sz w:val="24"/>
          <w:szCs w:val="24"/>
        </w:rPr>
        <w:t>дуальных инвестиционных рекомендаций, предоставленных с использованием Программы, возникновение ошибки следования, изменение рыночной конъюнктуры и иные факторы.</w:t>
      </w:r>
    </w:p>
    <w:p w:rsidR="00E302FE" w:rsidRPr="00E302FE" w:rsidRDefault="00E302FE" w:rsidP="00E302FE">
      <w:pPr>
        <w:ind w:firstLine="709"/>
        <w:jc w:val="both"/>
        <w:rPr>
          <w:sz w:val="24"/>
          <w:szCs w:val="24"/>
        </w:rPr>
      </w:pPr>
    </w:p>
    <w:p w:rsidR="00E302FE" w:rsidRPr="00E302FE" w:rsidRDefault="00E302FE" w:rsidP="00E302FE">
      <w:pPr>
        <w:ind w:firstLine="709"/>
        <w:jc w:val="both"/>
        <w:rPr>
          <w:b/>
          <w:sz w:val="24"/>
          <w:szCs w:val="24"/>
        </w:rPr>
      </w:pPr>
      <w:r w:rsidRPr="00E302FE">
        <w:rPr>
          <w:b/>
          <w:sz w:val="24"/>
          <w:szCs w:val="24"/>
        </w:rPr>
        <w:t>Настоящим не раскрываются все риски, связанные с проведением операций с ценными бумагами, в том числе с использованием Программы, вследствие разнообр</w:t>
      </w:r>
      <w:r w:rsidRPr="00E302FE">
        <w:rPr>
          <w:b/>
          <w:sz w:val="24"/>
          <w:szCs w:val="24"/>
        </w:rPr>
        <w:t>а</w:t>
      </w:r>
      <w:r w:rsidRPr="00E302FE">
        <w:rPr>
          <w:b/>
          <w:sz w:val="24"/>
          <w:szCs w:val="24"/>
        </w:rPr>
        <w:t>зия возникающих на рынке ситуаций. Клиенту рекомендуется перед заключением д</w:t>
      </w:r>
      <w:r w:rsidRPr="00E302FE">
        <w:rPr>
          <w:b/>
          <w:sz w:val="24"/>
          <w:szCs w:val="24"/>
        </w:rPr>
        <w:t>о</w:t>
      </w:r>
      <w:r w:rsidRPr="00E302FE">
        <w:rPr>
          <w:b/>
          <w:sz w:val="24"/>
          <w:szCs w:val="24"/>
        </w:rPr>
        <w:t>говора об инвестиционном консультировании (перед началом получения индивидуал</w:t>
      </w:r>
      <w:r w:rsidRPr="00E302FE">
        <w:rPr>
          <w:b/>
          <w:sz w:val="24"/>
          <w:szCs w:val="24"/>
        </w:rPr>
        <w:t>ь</w:t>
      </w:r>
      <w:r w:rsidRPr="00E302FE">
        <w:rPr>
          <w:b/>
          <w:sz w:val="24"/>
          <w:szCs w:val="24"/>
        </w:rPr>
        <w:t>ных инвестиционных рекомендаций посредством программ автоследования) оценить приемлемость любых возможных рисков, а также внимательно ознакомиться с усл</w:t>
      </w:r>
      <w:r w:rsidRPr="00E302FE">
        <w:rPr>
          <w:b/>
          <w:sz w:val="24"/>
          <w:szCs w:val="24"/>
        </w:rPr>
        <w:t>о</w:t>
      </w:r>
      <w:r w:rsidRPr="00E302FE">
        <w:rPr>
          <w:b/>
          <w:sz w:val="24"/>
          <w:szCs w:val="24"/>
        </w:rPr>
        <w:t>виями договора (порядком и правилами предоставления индивидуальных инвестиц</w:t>
      </w:r>
      <w:r w:rsidRPr="00E302FE">
        <w:rPr>
          <w:b/>
          <w:sz w:val="24"/>
          <w:szCs w:val="24"/>
        </w:rPr>
        <w:t>и</w:t>
      </w:r>
      <w:r w:rsidRPr="00E302FE">
        <w:rPr>
          <w:b/>
          <w:sz w:val="24"/>
          <w:szCs w:val="24"/>
        </w:rPr>
        <w:t>онных рекомендаций посредством таких программ автоследования инвестиционным советником, а также с порядком и правилами исполнения поручений клиента брок</w:t>
      </w:r>
      <w:r w:rsidRPr="00E302FE">
        <w:rPr>
          <w:b/>
          <w:sz w:val="24"/>
          <w:szCs w:val="24"/>
        </w:rPr>
        <w:t>е</w:t>
      </w:r>
      <w:r w:rsidRPr="00E302FE">
        <w:rPr>
          <w:b/>
          <w:sz w:val="24"/>
          <w:szCs w:val="24"/>
        </w:rPr>
        <w:t>ром).</w:t>
      </w:r>
    </w:p>
    <w:p w:rsidR="00E302FE" w:rsidRPr="00E302FE" w:rsidRDefault="00E302FE" w:rsidP="00E302FE">
      <w:pPr>
        <w:ind w:firstLine="709"/>
        <w:jc w:val="both"/>
        <w:rPr>
          <w:b/>
          <w:sz w:val="24"/>
          <w:szCs w:val="24"/>
        </w:rPr>
      </w:pPr>
      <w:r w:rsidRPr="00E302FE">
        <w:rPr>
          <w:b/>
          <w:sz w:val="24"/>
          <w:szCs w:val="24"/>
        </w:rPr>
        <w:t xml:space="preserve">Клиенту следует убедиться, что ему понятна настоящая </w:t>
      </w:r>
      <w:r w:rsidR="00BB340E">
        <w:rPr>
          <w:b/>
          <w:sz w:val="24"/>
          <w:szCs w:val="24"/>
        </w:rPr>
        <w:t>д</w:t>
      </w:r>
      <w:r w:rsidRPr="00E302FE">
        <w:rPr>
          <w:b/>
          <w:sz w:val="24"/>
          <w:szCs w:val="24"/>
        </w:rPr>
        <w:t>екларация, и при нео</w:t>
      </w:r>
      <w:r w:rsidRPr="00E302FE">
        <w:rPr>
          <w:b/>
          <w:sz w:val="24"/>
          <w:szCs w:val="24"/>
        </w:rPr>
        <w:t>б</w:t>
      </w:r>
      <w:r w:rsidRPr="00E302FE">
        <w:rPr>
          <w:b/>
          <w:sz w:val="24"/>
          <w:szCs w:val="24"/>
        </w:rPr>
        <w:t>ходимости получить разъяснения у своего инвестиционного советника.</w:t>
      </w:r>
    </w:p>
    <w:p w:rsidR="00E302FE" w:rsidRPr="00E302FE" w:rsidRDefault="00E302FE" w:rsidP="00866CEE">
      <w:pPr>
        <w:pStyle w:val="western"/>
        <w:spacing w:before="0" w:beforeAutospacing="0" w:after="0" w:line="240" w:lineRule="auto"/>
        <w:ind w:firstLine="709"/>
        <w:jc w:val="both"/>
        <w:rPr>
          <w:sz w:val="24"/>
          <w:szCs w:val="24"/>
        </w:rPr>
      </w:pPr>
      <w:r w:rsidRPr="00E302FE">
        <w:rPr>
          <w:b/>
          <w:sz w:val="24"/>
          <w:szCs w:val="24"/>
        </w:rPr>
        <w:t>Ваш инвестиционный советник (Банк) является членом НАУФОР, к которой Вы можете обратиться в случае нарушения Ваших прав и интересов. Государственное р</w:t>
      </w:r>
      <w:r w:rsidRPr="00E302FE">
        <w:rPr>
          <w:b/>
          <w:sz w:val="24"/>
          <w:szCs w:val="24"/>
        </w:rPr>
        <w:t>е</w:t>
      </w:r>
      <w:r w:rsidRPr="00E302FE">
        <w:rPr>
          <w:b/>
          <w:sz w:val="24"/>
          <w:szCs w:val="24"/>
        </w:rPr>
        <w:t>гулирование и надзор в отношении деятельности эмитентов, профессиональных учас</w:t>
      </w:r>
      <w:r w:rsidRPr="00E302FE">
        <w:rPr>
          <w:b/>
          <w:sz w:val="24"/>
          <w:szCs w:val="24"/>
        </w:rPr>
        <w:t>т</w:t>
      </w:r>
      <w:r w:rsidRPr="00E302FE">
        <w:rPr>
          <w:b/>
          <w:sz w:val="24"/>
          <w:szCs w:val="24"/>
        </w:rPr>
        <w:t>ников рынка ценных бумаг, организаторов торговли и других финансовых организ</w:t>
      </w:r>
      <w:r w:rsidRPr="00E302FE">
        <w:rPr>
          <w:b/>
          <w:sz w:val="24"/>
          <w:szCs w:val="24"/>
        </w:rPr>
        <w:t>а</w:t>
      </w:r>
      <w:r w:rsidRPr="00E302FE">
        <w:rPr>
          <w:b/>
          <w:sz w:val="24"/>
          <w:szCs w:val="24"/>
        </w:rPr>
        <w:t>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sectPr w:rsidR="00E302FE" w:rsidRPr="00E302FE" w:rsidSect="004B31AC">
      <w:headerReference w:type="default" r:id="rId9"/>
      <w:footnotePr>
        <w:numFmt w:val="chicago"/>
      </w:footnotePr>
      <w:type w:val="continuous"/>
      <w:pgSz w:w="11906" w:h="16838" w:code="9"/>
      <w:pgMar w:top="851" w:right="851" w:bottom="851" w:left="1418" w:header="709" w:footer="624"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CEE" w:rsidRDefault="00866CEE">
      <w:r>
        <w:separator/>
      </w:r>
    </w:p>
  </w:endnote>
  <w:endnote w:type="continuationSeparator" w:id="0">
    <w:p w:rsidR="00866CEE" w:rsidRDefault="00866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MT">
    <w:altName w:val="Arial Unicode MS"/>
    <w:charset w:val="80"/>
    <w:family w:val="swiss"/>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
    <w:altName w:val="Times New Roman"/>
    <w:panose1 w:val="020B0604020202020204"/>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CEE" w:rsidRDefault="00866CEE">
      <w:r>
        <w:separator/>
      </w:r>
    </w:p>
  </w:footnote>
  <w:footnote w:type="continuationSeparator" w:id="0">
    <w:p w:rsidR="00866CEE" w:rsidRDefault="00866CEE">
      <w:r>
        <w:continuationSeparator/>
      </w:r>
    </w:p>
  </w:footnote>
  <w:footnote w:id="1">
    <w:p w:rsidR="00866CEE" w:rsidRPr="007378AA" w:rsidRDefault="00866CEE" w:rsidP="00E302F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7378AA">
        <w:rPr>
          <w:rFonts w:ascii="Times New Roman" w:hAnsi="Times New Roman" w:cs="Times New Roman"/>
          <w:sz w:val="18"/>
          <w:szCs w:val="18"/>
        </w:rPr>
        <w:t xml:space="preserve"> </w:t>
      </w:r>
      <w:r>
        <w:rPr>
          <w:rFonts w:ascii="Times New Roman" w:hAnsi="Times New Roman" w:cs="Times New Roman"/>
          <w:sz w:val="18"/>
          <w:szCs w:val="18"/>
        </w:rPr>
        <w:t>Ф</w:t>
      </w:r>
      <w:r w:rsidRPr="007378AA">
        <w:rPr>
          <w:rFonts w:ascii="Times New Roman" w:hAnsi="Times New Roman" w:cs="Times New Roman"/>
          <w:sz w:val="18"/>
          <w:szCs w:val="18"/>
        </w:rPr>
        <w:t>инансовая услуга - исполнение поручения клиента на совершение гражданско-правовых сделок с ценными бумагами и (или) на заключение договоров, являющихся производными финансовыми инструментами;</w:t>
      </w:r>
      <w:r>
        <w:rPr>
          <w:rFonts w:ascii="Times New Roman" w:hAnsi="Times New Roman" w:cs="Times New Roman"/>
          <w:sz w:val="18"/>
          <w:szCs w:val="18"/>
        </w:rPr>
        <w:t xml:space="preserve"> п</w:t>
      </w:r>
      <w:r w:rsidRPr="0042673D">
        <w:rPr>
          <w:rFonts w:ascii="Times New Roman" w:hAnsi="Times New Roman" w:cs="Times New Roman"/>
          <w:sz w:val="18"/>
          <w:szCs w:val="18"/>
        </w:rPr>
        <w:t xml:space="preserve">олучатель финансовых услуг - клиент, а также юридическое или физическое лицо, намеренное заключить договор о брокерском </w:t>
      </w:r>
      <w:r>
        <w:rPr>
          <w:rFonts w:ascii="Times New Roman" w:hAnsi="Times New Roman" w:cs="Times New Roman"/>
          <w:sz w:val="18"/>
          <w:szCs w:val="18"/>
        </w:rPr>
        <w:t>обслуживании.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676356"/>
      <w:docPartObj>
        <w:docPartGallery w:val="Page Numbers (Top of Page)"/>
        <w:docPartUnique/>
      </w:docPartObj>
    </w:sdtPr>
    <w:sdtContent>
      <w:p w:rsidR="00866CEE" w:rsidRDefault="002B7E8D">
        <w:pPr>
          <w:pStyle w:val="a6"/>
          <w:jc w:val="center"/>
        </w:pPr>
        <w:fldSimple w:instr=" PAGE   \* MERGEFORMAT ">
          <w:r w:rsidR="0082734C">
            <w:rPr>
              <w:noProof/>
            </w:rPr>
            <w:t>17</w:t>
          </w:r>
        </w:fldSimple>
      </w:p>
    </w:sdtContent>
  </w:sdt>
  <w:p w:rsidR="00866CEE" w:rsidRDefault="00866CE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C6A341"/>
    <w:multiLevelType w:val="hybridMultilevel"/>
    <w:tmpl w:val="0602F9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1EB077"/>
    <w:multiLevelType w:val="hybridMultilevel"/>
    <w:tmpl w:val="C6D6BB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33047C6E"/>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name w:val="WW8Num1"/>
    <w:lvl w:ilvl="0">
      <w:start w:val="1"/>
      <w:numFmt w:val="decimal"/>
      <w:lvlText w:val="%1."/>
      <w:lvlJc w:val="left"/>
      <w:pPr>
        <w:tabs>
          <w:tab w:val="num" w:pos="495"/>
        </w:tabs>
        <w:ind w:left="495" w:hanging="495"/>
      </w:pPr>
      <w:rPr>
        <w:rFonts w:eastAsia="ArialMT" w:hint="default"/>
        <w:b/>
        <w:bCs/>
        <w:color w:val="000000"/>
        <w:lang w:val="en-US"/>
      </w:rPr>
    </w:lvl>
    <w:lvl w:ilvl="1">
      <w:start w:val="1"/>
      <w:numFmt w:val="decimal"/>
      <w:lvlText w:val="%1.%2."/>
      <w:lvlJc w:val="left"/>
      <w:pPr>
        <w:tabs>
          <w:tab w:val="num" w:pos="495"/>
        </w:tabs>
        <w:ind w:left="495" w:hanging="495"/>
      </w:pPr>
      <w:rPr>
        <w:rFonts w:eastAsia="ArialMT" w:hint="default"/>
        <w:b/>
        <w:bCs/>
        <w:color w:val="000000"/>
        <w:lang w:val="en-US"/>
      </w:rPr>
    </w:lvl>
    <w:lvl w:ilvl="2">
      <w:start w:val="1"/>
      <w:numFmt w:val="decimal"/>
      <w:lvlText w:val="%1.%2.%3."/>
      <w:lvlJc w:val="left"/>
      <w:pPr>
        <w:tabs>
          <w:tab w:val="num" w:pos="720"/>
        </w:tabs>
        <w:ind w:left="720" w:hanging="720"/>
      </w:pPr>
      <w:rPr>
        <w:rFonts w:eastAsia="ArialMT" w:hint="default"/>
        <w:b/>
        <w:bCs/>
        <w:color w:val="000000"/>
        <w:lang w:val="en-US"/>
      </w:rPr>
    </w:lvl>
    <w:lvl w:ilvl="3">
      <w:start w:val="1"/>
      <w:numFmt w:val="decimal"/>
      <w:lvlText w:val="%1.%2.%3.%4."/>
      <w:lvlJc w:val="left"/>
      <w:pPr>
        <w:tabs>
          <w:tab w:val="num" w:pos="720"/>
        </w:tabs>
        <w:ind w:left="720" w:hanging="720"/>
      </w:pPr>
      <w:rPr>
        <w:rFonts w:eastAsia="ArialMT" w:hint="default"/>
        <w:b/>
        <w:bCs/>
        <w:color w:val="000000"/>
        <w:lang w:val="en-US"/>
      </w:rPr>
    </w:lvl>
    <w:lvl w:ilvl="4">
      <w:start w:val="1"/>
      <w:numFmt w:val="decimal"/>
      <w:lvlText w:val="%1.%2.%3.%4.%5."/>
      <w:lvlJc w:val="left"/>
      <w:pPr>
        <w:tabs>
          <w:tab w:val="num" w:pos="1080"/>
        </w:tabs>
        <w:ind w:left="1080" w:hanging="1080"/>
      </w:pPr>
      <w:rPr>
        <w:rFonts w:eastAsia="ArialMT" w:hint="default"/>
        <w:b/>
        <w:bCs/>
        <w:color w:val="000000"/>
        <w:lang w:val="en-US"/>
      </w:rPr>
    </w:lvl>
    <w:lvl w:ilvl="5">
      <w:start w:val="1"/>
      <w:numFmt w:val="decimal"/>
      <w:lvlText w:val="%1.%2.%3.%4.%5.%6."/>
      <w:lvlJc w:val="left"/>
      <w:pPr>
        <w:tabs>
          <w:tab w:val="num" w:pos="1080"/>
        </w:tabs>
        <w:ind w:left="1080" w:hanging="1080"/>
      </w:pPr>
      <w:rPr>
        <w:rFonts w:eastAsia="ArialMT" w:hint="default"/>
        <w:b/>
        <w:bCs/>
        <w:color w:val="000000"/>
        <w:lang w:val="en-US"/>
      </w:rPr>
    </w:lvl>
    <w:lvl w:ilvl="6">
      <w:start w:val="1"/>
      <w:numFmt w:val="decimal"/>
      <w:lvlText w:val="%1.%2.%3.%4.%5.%6.%7."/>
      <w:lvlJc w:val="left"/>
      <w:pPr>
        <w:tabs>
          <w:tab w:val="num" w:pos="1440"/>
        </w:tabs>
        <w:ind w:left="1440" w:hanging="1440"/>
      </w:pPr>
      <w:rPr>
        <w:rFonts w:eastAsia="ArialMT" w:hint="default"/>
        <w:b/>
        <w:bCs/>
        <w:color w:val="000000"/>
        <w:lang w:val="en-US"/>
      </w:rPr>
    </w:lvl>
    <w:lvl w:ilvl="7">
      <w:start w:val="1"/>
      <w:numFmt w:val="decimal"/>
      <w:lvlText w:val="%1.%2.%3.%4.%5.%6.%7.%8."/>
      <w:lvlJc w:val="left"/>
      <w:pPr>
        <w:tabs>
          <w:tab w:val="num" w:pos="1440"/>
        </w:tabs>
        <w:ind w:left="1440" w:hanging="1440"/>
      </w:pPr>
      <w:rPr>
        <w:rFonts w:eastAsia="ArialMT" w:hint="default"/>
        <w:b/>
        <w:bCs/>
        <w:color w:val="000000"/>
        <w:lang w:val="en-US"/>
      </w:rPr>
    </w:lvl>
    <w:lvl w:ilvl="8">
      <w:start w:val="1"/>
      <w:numFmt w:val="decimal"/>
      <w:lvlText w:val="%1.%2.%3.%4.%5.%6.%7.%8.%9."/>
      <w:lvlJc w:val="left"/>
      <w:pPr>
        <w:tabs>
          <w:tab w:val="num" w:pos="1800"/>
        </w:tabs>
        <w:ind w:left="1800" w:hanging="1800"/>
      </w:pPr>
      <w:rPr>
        <w:rFonts w:eastAsia="ArialMT" w:hint="default"/>
        <w:b/>
        <w:bCs/>
        <w:color w:val="000000"/>
        <w:lang w:val="en-US"/>
      </w:rPr>
    </w:lvl>
  </w:abstractNum>
  <w:abstractNum w:abstractNumId="4">
    <w:nsid w:val="00000004"/>
    <w:multiLevelType w:val="multilevel"/>
    <w:tmpl w:val="00000004"/>
    <w:name w:val="RTF_Num 15"/>
    <w:lvl w:ilvl="0">
      <w:start w:val="1"/>
      <w:numFmt w:val="decimal"/>
      <w:lvlText w:val="%1."/>
      <w:lvlJc w:val="left"/>
      <w:pPr>
        <w:tabs>
          <w:tab w:val="num" w:pos="1500"/>
        </w:tabs>
        <w:ind w:left="1500" w:hanging="9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pPr>
      <w:rPr>
        <w:rFonts w:cs="Times New Roman"/>
      </w:rPr>
    </w:lvl>
  </w:abstractNum>
  <w:abstractNum w:abstractNumId="5">
    <w:nsid w:val="0024251A"/>
    <w:multiLevelType w:val="multilevel"/>
    <w:tmpl w:val="2458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7266F3"/>
    <w:multiLevelType w:val="multilevel"/>
    <w:tmpl w:val="9A0AF99E"/>
    <w:lvl w:ilvl="0">
      <w:start w:val="1"/>
      <w:numFmt w:val="decimal"/>
      <w:suff w:val="space"/>
      <w:lvlText w:val="%1."/>
      <w:lvlJc w:val="left"/>
      <w:pPr>
        <w:ind w:left="40" w:firstLine="386"/>
      </w:pPr>
      <w:rPr>
        <w:rFonts w:hint="default"/>
      </w:rPr>
    </w:lvl>
    <w:lvl w:ilvl="1">
      <w:start w:val="1"/>
      <w:numFmt w:val="decimal"/>
      <w:suff w:val="space"/>
      <w:lvlText w:val="%1.%2."/>
      <w:lvlJc w:val="left"/>
      <w:pPr>
        <w:ind w:left="0" w:firstLine="386"/>
      </w:pPr>
      <w:rPr>
        <w:rFonts w:hint="default"/>
        <w:b w:val="0"/>
      </w:rPr>
    </w:lvl>
    <w:lvl w:ilvl="2">
      <w:start w:val="1"/>
      <w:numFmt w:val="decimal"/>
      <w:suff w:val="space"/>
      <w:lvlText w:val="%1.%2.%3."/>
      <w:lvlJc w:val="left"/>
      <w:pPr>
        <w:ind w:left="1316" w:firstLine="386"/>
      </w:pPr>
      <w:rPr>
        <w:rFonts w:hint="default"/>
      </w:rPr>
    </w:lvl>
    <w:lvl w:ilvl="3">
      <w:start w:val="1"/>
      <w:numFmt w:val="decimal"/>
      <w:suff w:val="space"/>
      <w:lvlText w:val="%1.%2.%3.%4."/>
      <w:lvlJc w:val="left"/>
      <w:pPr>
        <w:ind w:left="-26" w:firstLine="386"/>
      </w:pPr>
      <w:rPr>
        <w:rFonts w:hint="default"/>
      </w:rPr>
    </w:lvl>
    <w:lvl w:ilvl="4">
      <w:start w:val="1"/>
      <w:numFmt w:val="decimal"/>
      <w:suff w:val="space"/>
      <w:lvlText w:val="%1.%2.%3.%4.%5."/>
      <w:lvlJc w:val="left"/>
      <w:pPr>
        <w:ind w:left="0" w:firstLine="386"/>
      </w:pPr>
      <w:rPr>
        <w:rFonts w:hint="default"/>
      </w:rPr>
    </w:lvl>
    <w:lvl w:ilvl="5">
      <w:start w:val="1"/>
      <w:numFmt w:val="decimal"/>
      <w:suff w:val="space"/>
      <w:lvlText w:val="%1.%2.%3.%4.%5.%6."/>
      <w:lvlJc w:val="left"/>
      <w:pPr>
        <w:ind w:left="0" w:firstLine="386"/>
      </w:pPr>
      <w:rPr>
        <w:rFonts w:hint="default"/>
      </w:rPr>
    </w:lvl>
    <w:lvl w:ilvl="6">
      <w:start w:val="1"/>
      <w:numFmt w:val="decimal"/>
      <w:lvlText w:val="%1.%2.%3.%4.%5.%6.%7."/>
      <w:lvlJc w:val="left"/>
      <w:pPr>
        <w:tabs>
          <w:tab w:val="num" w:pos="360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7">
    <w:nsid w:val="045608DF"/>
    <w:multiLevelType w:val="multilevel"/>
    <w:tmpl w:val="F1B08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5943008"/>
    <w:multiLevelType w:val="multilevel"/>
    <w:tmpl w:val="DEC6C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A00F58"/>
    <w:multiLevelType w:val="multilevel"/>
    <w:tmpl w:val="B9E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50026C"/>
    <w:multiLevelType w:val="multilevel"/>
    <w:tmpl w:val="34760D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A34302A"/>
    <w:multiLevelType w:val="multilevel"/>
    <w:tmpl w:val="F3AEFE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1AB73B1"/>
    <w:multiLevelType w:val="multilevel"/>
    <w:tmpl w:val="2A38F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3541EE"/>
    <w:multiLevelType w:val="hybridMultilevel"/>
    <w:tmpl w:val="3DBE1E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A93D54"/>
    <w:multiLevelType w:val="multilevel"/>
    <w:tmpl w:val="0C3E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DE3C69"/>
    <w:multiLevelType w:val="multilevel"/>
    <w:tmpl w:val="9560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F21FAA"/>
    <w:multiLevelType w:val="multilevel"/>
    <w:tmpl w:val="D4E6F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1E5A63"/>
    <w:multiLevelType w:val="hybridMultilevel"/>
    <w:tmpl w:val="09C669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sz w:val="28"/>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4225CC5"/>
    <w:multiLevelType w:val="multilevel"/>
    <w:tmpl w:val="5232C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5AE6AE"/>
    <w:multiLevelType w:val="hybridMultilevel"/>
    <w:tmpl w:val="42136E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A512B17"/>
    <w:multiLevelType w:val="hybridMultilevel"/>
    <w:tmpl w:val="952659CA"/>
    <w:lvl w:ilvl="0" w:tplc="F3AC9756">
      <w:start w:val="1"/>
      <w:numFmt w:val="decimal"/>
      <w:pStyle w:val="2"/>
      <w:lvlText w:val="%1."/>
      <w:lvlJc w:val="left"/>
      <w:pPr>
        <w:tabs>
          <w:tab w:val="num" w:pos="567"/>
        </w:tabs>
        <w:ind w:left="567" w:hanging="567"/>
      </w:pPr>
      <w:rPr>
        <w:rFonts w:cs="Times New Roman" w:hint="default"/>
      </w:rPr>
    </w:lvl>
    <w:lvl w:ilvl="1" w:tplc="3ED4A8D6">
      <w:start w:val="1"/>
      <w:numFmt w:val="decimal"/>
      <w:pStyle w:val="3"/>
      <w:isLgl/>
      <w:lvlText w:val="1.%2."/>
      <w:lvlJc w:val="left"/>
      <w:pPr>
        <w:tabs>
          <w:tab w:val="num" w:pos="720"/>
        </w:tabs>
        <w:ind w:left="720" w:hanging="720"/>
      </w:pPr>
      <w:rPr>
        <w:rFonts w:cs="Times New Roman" w:hint="default"/>
      </w:rPr>
    </w:lvl>
    <w:lvl w:ilvl="2" w:tplc="8F841EBA">
      <w:start w:val="1"/>
      <w:numFmt w:val="bullet"/>
      <w:lvlText w:val=""/>
      <w:lvlJc w:val="left"/>
      <w:pPr>
        <w:tabs>
          <w:tab w:val="num" w:pos="360"/>
        </w:tabs>
        <w:ind w:left="360" w:hanging="360"/>
      </w:pPr>
      <w:rPr>
        <w:rFonts w:ascii="Wingdings" w:hAnsi="Wingdings" w:hint="default"/>
      </w:rPr>
    </w:lvl>
    <w:lvl w:ilvl="3" w:tplc="0CD4652C">
      <w:numFmt w:val="none"/>
      <w:lvlText w:val=""/>
      <w:lvlJc w:val="left"/>
      <w:pPr>
        <w:tabs>
          <w:tab w:val="num" w:pos="360"/>
        </w:tabs>
      </w:pPr>
      <w:rPr>
        <w:rFonts w:cs="Times New Roman"/>
      </w:rPr>
    </w:lvl>
    <w:lvl w:ilvl="4" w:tplc="DFD0C446">
      <w:start w:val="1"/>
      <w:numFmt w:val="bullet"/>
      <w:lvlText w:val=""/>
      <w:lvlJc w:val="left"/>
      <w:pPr>
        <w:tabs>
          <w:tab w:val="num" w:pos="785"/>
        </w:tabs>
        <w:ind w:left="785" w:hanging="360"/>
      </w:pPr>
      <w:rPr>
        <w:rFonts w:ascii="Wingdings" w:hAnsi="Wingdings" w:hint="default"/>
      </w:rPr>
    </w:lvl>
    <w:lvl w:ilvl="5" w:tplc="2DA6B6C6">
      <w:start w:val="1"/>
      <w:numFmt w:val="bullet"/>
      <w:lvlText w:val=""/>
      <w:lvlJc w:val="left"/>
      <w:pPr>
        <w:tabs>
          <w:tab w:val="num" w:pos="785"/>
        </w:tabs>
        <w:ind w:left="785" w:hanging="360"/>
      </w:pPr>
      <w:rPr>
        <w:rFonts w:ascii="Wingdings" w:hAnsi="Wingdings" w:hint="default"/>
      </w:rPr>
    </w:lvl>
    <w:lvl w:ilvl="6" w:tplc="8266F96E">
      <w:numFmt w:val="none"/>
      <w:lvlText w:val=""/>
      <w:lvlJc w:val="left"/>
      <w:pPr>
        <w:tabs>
          <w:tab w:val="num" w:pos="360"/>
        </w:tabs>
      </w:pPr>
      <w:rPr>
        <w:rFonts w:cs="Times New Roman"/>
      </w:rPr>
    </w:lvl>
    <w:lvl w:ilvl="7" w:tplc="AC0483D2">
      <w:numFmt w:val="none"/>
      <w:lvlText w:val=""/>
      <w:lvlJc w:val="left"/>
      <w:pPr>
        <w:tabs>
          <w:tab w:val="num" w:pos="360"/>
        </w:tabs>
      </w:pPr>
      <w:rPr>
        <w:rFonts w:cs="Times New Roman"/>
      </w:rPr>
    </w:lvl>
    <w:lvl w:ilvl="8" w:tplc="ADA64792">
      <w:numFmt w:val="none"/>
      <w:lvlText w:val=""/>
      <w:lvlJc w:val="left"/>
      <w:pPr>
        <w:tabs>
          <w:tab w:val="num" w:pos="360"/>
        </w:tabs>
      </w:pPr>
      <w:rPr>
        <w:rFonts w:cs="Times New Roman"/>
      </w:rPr>
    </w:lvl>
  </w:abstractNum>
  <w:abstractNum w:abstractNumId="21">
    <w:nsid w:val="305022E0"/>
    <w:multiLevelType w:val="multilevel"/>
    <w:tmpl w:val="453462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345D196E"/>
    <w:multiLevelType w:val="hybridMultilevel"/>
    <w:tmpl w:val="8EC6E1C2"/>
    <w:lvl w:ilvl="0" w:tplc="FFFFFFFF">
      <w:start w:val="1"/>
      <w:numFmt w:val="bullet"/>
      <w:lvlText w:val=""/>
      <w:lvlJc w:val="left"/>
      <w:pPr>
        <w:tabs>
          <w:tab w:val="num" w:pos="2847"/>
        </w:tabs>
        <w:ind w:left="2847" w:hanging="360"/>
      </w:pPr>
      <w:rPr>
        <w:rFonts w:ascii="Symbol" w:hAnsi="Symbol" w:hint="default"/>
        <w:b/>
        <w:i w:val="0"/>
        <w:color w:val="auto"/>
        <w:sz w:val="24"/>
        <w:szCs w:val="24"/>
      </w:rPr>
    </w:lvl>
    <w:lvl w:ilvl="1" w:tplc="FFFFFFFF">
      <w:numFmt w:val="bullet"/>
      <w:lvlText w:val="-"/>
      <w:lvlJc w:val="left"/>
      <w:pPr>
        <w:tabs>
          <w:tab w:val="num" w:pos="2149"/>
        </w:tabs>
        <w:ind w:left="1789" w:firstLine="0"/>
      </w:pPr>
      <w:rPr>
        <w:rFonts w:ascii="Times New Roman" w:eastAsia="Times New Roman" w:hAnsi="Times New Roman" w:cs="Times New Roman" w:hint="default"/>
        <w:b/>
        <w:i w:val="0"/>
        <w:color w:val="auto"/>
        <w:sz w:val="28"/>
        <w:szCs w:val="24"/>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39095DE7"/>
    <w:multiLevelType w:val="multilevel"/>
    <w:tmpl w:val="4EBE5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DF7B2C"/>
    <w:multiLevelType w:val="multilevel"/>
    <w:tmpl w:val="39365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173478"/>
    <w:multiLevelType w:val="multilevel"/>
    <w:tmpl w:val="57689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B47D0A"/>
    <w:multiLevelType w:val="singleLevel"/>
    <w:tmpl w:val="8FF889DA"/>
    <w:lvl w:ilvl="0">
      <w:start w:val="1"/>
      <w:numFmt w:val="bullet"/>
      <w:pStyle w:val="a0"/>
      <w:lvlText w:val=""/>
      <w:lvlJc w:val="left"/>
      <w:pPr>
        <w:tabs>
          <w:tab w:val="num" w:pos="360"/>
        </w:tabs>
        <w:ind w:left="360" w:hanging="360"/>
      </w:pPr>
      <w:rPr>
        <w:rFonts w:ascii="Wingdings" w:hAnsi="Wingdings" w:hint="default"/>
      </w:rPr>
    </w:lvl>
  </w:abstractNum>
  <w:abstractNum w:abstractNumId="27">
    <w:nsid w:val="46F26C96"/>
    <w:multiLevelType w:val="multilevel"/>
    <w:tmpl w:val="E76258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47DC7F3B"/>
    <w:multiLevelType w:val="multilevel"/>
    <w:tmpl w:val="BDC2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207962"/>
    <w:multiLevelType w:val="multilevel"/>
    <w:tmpl w:val="D0C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C40195"/>
    <w:multiLevelType w:val="hybridMultilevel"/>
    <w:tmpl w:val="6108F370"/>
    <w:lvl w:ilvl="0" w:tplc="5434B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04E7563"/>
    <w:multiLevelType w:val="multilevel"/>
    <w:tmpl w:val="68C27C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565F3004"/>
    <w:multiLevelType w:val="multilevel"/>
    <w:tmpl w:val="80D4D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6044E5"/>
    <w:multiLevelType w:val="multilevel"/>
    <w:tmpl w:val="93F217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4304346"/>
    <w:multiLevelType w:val="multilevel"/>
    <w:tmpl w:val="3C9EC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83022F"/>
    <w:multiLevelType w:val="multilevel"/>
    <w:tmpl w:val="D8FE3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C40DF7"/>
    <w:multiLevelType w:val="multilevel"/>
    <w:tmpl w:val="C0AC1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3B07098"/>
    <w:multiLevelType w:val="multilevel"/>
    <w:tmpl w:val="A39289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5B021AD"/>
    <w:multiLevelType w:val="multilevel"/>
    <w:tmpl w:val="40F464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6AA26B4"/>
    <w:multiLevelType w:val="multilevel"/>
    <w:tmpl w:val="E6F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460EFA"/>
    <w:multiLevelType w:val="hybridMultilevel"/>
    <w:tmpl w:val="75800BB6"/>
    <w:lvl w:ilvl="0" w:tplc="BAAA9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F97A75"/>
    <w:multiLevelType w:val="multilevel"/>
    <w:tmpl w:val="40E6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6"/>
  </w:num>
  <w:num w:numId="3">
    <w:abstractNumId w:val="20"/>
  </w:num>
  <w:num w:numId="4">
    <w:abstractNumId w:val="17"/>
  </w:num>
  <w:num w:numId="5">
    <w:abstractNumId w:val="29"/>
  </w:num>
  <w:num w:numId="6">
    <w:abstractNumId w:val="39"/>
  </w:num>
  <w:num w:numId="7">
    <w:abstractNumId w:val="22"/>
  </w:num>
  <w:num w:numId="8">
    <w:abstractNumId w:val="13"/>
  </w:num>
  <w:num w:numId="9">
    <w:abstractNumId w:val="27"/>
  </w:num>
  <w:num w:numId="10">
    <w:abstractNumId w:val="14"/>
  </w:num>
  <w:num w:numId="11">
    <w:abstractNumId w:val="12"/>
  </w:num>
  <w:num w:numId="12">
    <w:abstractNumId w:val="11"/>
  </w:num>
  <w:num w:numId="13">
    <w:abstractNumId w:val="41"/>
  </w:num>
  <w:num w:numId="14">
    <w:abstractNumId w:val="35"/>
  </w:num>
  <w:num w:numId="15">
    <w:abstractNumId w:val="31"/>
  </w:num>
  <w:num w:numId="16">
    <w:abstractNumId w:val="15"/>
  </w:num>
  <w:num w:numId="17">
    <w:abstractNumId w:val="24"/>
  </w:num>
  <w:num w:numId="18">
    <w:abstractNumId w:val="34"/>
  </w:num>
  <w:num w:numId="19">
    <w:abstractNumId w:val="5"/>
  </w:num>
  <w:num w:numId="20">
    <w:abstractNumId w:val="18"/>
  </w:num>
  <w:num w:numId="21">
    <w:abstractNumId w:val="8"/>
  </w:num>
  <w:num w:numId="22">
    <w:abstractNumId w:val="16"/>
  </w:num>
  <w:num w:numId="23">
    <w:abstractNumId w:val="21"/>
  </w:num>
  <w:num w:numId="24">
    <w:abstractNumId w:val="25"/>
  </w:num>
  <w:num w:numId="25">
    <w:abstractNumId w:val="7"/>
  </w:num>
  <w:num w:numId="26">
    <w:abstractNumId w:val="33"/>
  </w:num>
  <w:num w:numId="27">
    <w:abstractNumId w:val="36"/>
  </w:num>
  <w:num w:numId="28">
    <w:abstractNumId w:val="32"/>
  </w:num>
  <w:num w:numId="29">
    <w:abstractNumId w:val="23"/>
  </w:num>
  <w:num w:numId="30">
    <w:abstractNumId w:val="10"/>
  </w:num>
  <w:num w:numId="31">
    <w:abstractNumId w:val="37"/>
  </w:num>
  <w:num w:numId="32">
    <w:abstractNumId w:val="38"/>
  </w:num>
  <w:num w:numId="33">
    <w:abstractNumId w:val="9"/>
  </w:num>
  <w:num w:numId="34">
    <w:abstractNumId w:val="1"/>
  </w:num>
  <w:num w:numId="35">
    <w:abstractNumId w:val="0"/>
  </w:num>
  <w:num w:numId="36">
    <w:abstractNumId w:val="19"/>
  </w:num>
  <w:num w:numId="37">
    <w:abstractNumId w:val="28"/>
  </w:num>
  <w:num w:numId="38">
    <w:abstractNumId w:val="3"/>
  </w:num>
  <w:num w:numId="39">
    <w:abstractNumId w:val="6"/>
  </w:num>
  <w:num w:numId="40">
    <w:abstractNumId w:val="40"/>
  </w:num>
  <w:num w:numId="41">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autoHyphenation/>
  <w:hyphenationZone w:val="35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30401"/>
  </w:hdrShapeDefaults>
  <w:footnotePr>
    <w:numFmt w:val="chicago"/>
    <w:footnote w:id="-1"/>
    <w:footnote w:id="0"/>
  </w:footnotePr>
  <w:endnotePr>
    <w:endnote w:id="-1"/>
    <w:endnote w:id="0"/>
  </w:endnotePr>
  <w:compat/>
  <w:rsids>
    <w:rsidRoot w:val="00E14827"/>
    <w:rsid w:val="00002164"/>
    <w:rsid w:val="000022AF"/>
    <w:rsid w:val="0000499D"/>
    <w:rsid w:val="00005354"/>
    <w:rsid w:val="000062ED"/>
    <w:rsid w:val="00006776"/>
    <w:rsid w:val="000070DD"/>
    <w:rsid w:val="000103D4"/>
    <w:rsid w:val="00010F32"/>
    <w:rsid w:val="00011580"/>
    <w:rsid w:val="0001216D"/>
    <w:rsid w:val="000122D9"/>
    <w:rsid w:val="00012F1F"/>
    <w:rsid w:val="000144B0"/>
    <w:rsid w:val="000154D5"/>
    <w:rsid w:val="00015798"/>
    <w:rsid w:val="000159CC"/>
    <w:rsid w:val="00016D58"/>
    <w:rsid w:val="00017BFF"/>
    <w:rsid w:val="000217A1"/>
    <w:rsid w:val="00022503"/>
    <w:rsid w:val="00022D87"/>
    <w:rsid w:val="000254DA"/>
    <w:rsid w:val="00026468"/>
    <w:rsid w:val="00026541"/>
    <w:rsid w:val="00026587"/>
    <w:rsid w:val="000279D6"/>
    <w:rsid w:val="00030C02"/>
    <w:rsid w:val="00031059"/>
    <w:rsid w:val="00031416"/>
    <w:rsid w:val="000319DF"/>
    <w:rsid w:val="000340A0"/>
    <w:rsid w:val="00037C39"/>
    <w:rsid w:val="00040D21"/>
    <w:rsid w:val="00041360"/>
    <w:rsid w:val="00041572"/>
    <w:rsid w:val="00043AD7"/>
    <w:rsid w:val="000443EF"/>
    <w:rsid w:val="00044463"/>
    <w:rsid w:val="00044AA1"/>
    <w:rsid w:val="00046AF2"/>
    <w:rsid w:val="00047D8C"/>
    <w:rsid w:val="000503FA"/>
    <w:rsid w:val="00050605"/>
    <w:rsid w:val="00050917"/>
    <w:rsid w:val="00050A11"/>
    <w:rsid w:val="000511C7"/>
    <w:rsid w:val="000512EB"/>
    <w:rsid w:val="00052F9A"/>
    <w:rsid w:val="00053A2A"/>
    <w:rsid w:val="00054DFD"/>
    <w:rsid w:val="00056A51"/>
    <w:rsid w:val="00057D2C"/>
    <w:rsid w:val="00060E89"/>
    <w:rsid w:val="000617CB"/>
    <w:rsid w:val="00061830"/>
    <w:rsid w:val="00061AF5"/>
    <w:rsid w:val="00062D35"/>
    <w:rsid w:val="00062E76"/>
    <w:rsid w:val="0006387D"/>
    <w:rsid w:val="00063FB4"/>
    <w:rsid w:val="0006426B"/>
    <w:rsid w:val="000659EF"/>
    <w:rsid w:val="000679BD"/>
    <w:rsid w:val="0007167D"/>
    <w:rsid w:val="00071D1B"/>
    <w:rsid w:val="00072483"/>
    <w:rsid w:val="00074530"/>
    <w:rsid w:val="00074C60"/>
    <w:rsid w:val="00076FA1"/>
    <w:rsid w:val="00077036"/>
    <w:rsid w:val="0008041F"/>
    <w:rsid w:val="00081936"/>
    <w:rsid w:val="00082E6D"/>
    <w:rsid w:val="0008415D"/>
    <w:rsid w:val="00084FB0"/>
    <w:rsid w:val="00087006"/>
    <w:rsid w:val="00087107"/>
    <w:rsid w:val="0008752D"/>
    <w:rsid w:val="00090572"/>
    <w:rsid w:val="0009177D"/>
    <w:rsid w:val="00092365"/>
    <w:rsid w:val="0009319D"/>
    <w:rsid w:val="00093C81"/>
    <w:rsid w:val="00094242"/>
    <w:rsid w:val="000958A4"/>
    <w:rsid w:val="000959D6"/>
    <w:rsid w:val="00097549"/>
    <w:rsid w:val="00097695"/>
    <w:rsid w:val="000A0833"/>
    <w:rsid w:val="000A0B68"/>
    <w:rsid w:val="000A1379"/>
    <w:rsid w:val="000A3B08"/>
    <w:rsid w:val="000A532C"/>
    <w:rsid w:val="000A615A"/>
    <w:rsid w:val="000A794B"/>
    <w:rsid w:val="000A79A0"/>
    <w:rsid w:val="000B1DD0"/>
    <w:rsid w:val="000B3702"/>
    <w:rsid w:val="000B3B87"/>
    <w:rsid w:val="000B4724"/>
    <w:rsid w:val="000B57FD"/>
    <w:rsid w:val="000B6BF9"/>
    <w:rsid w:val="000B6E88"/>
    <w:rsid w:val="000B7C61"/>
    <w:rsid w:val="000C136E"/>
    <w:rsid w:val="000C3191"/>
    <w:rsid w:val="000C35B2"/>
    <w:rsid w:val="000C4AFE"/>
    <w:rsid w:val="000C50F7"/>
    <w:rsid w:val="000C51B2"/>
    <w:rsid w:val="000C53D9"/>
    <w:rsid w:val="000C615F"/>
    <w:rsid w:val="000C66CA"/>
    <w:rsid w:val="000C6A52"/>
    <w:rsid w:val="000C6BF0"/>
    <w:rsid w:val="000C7B4E"/>
    <w:rsid w:val="000D086D"/>
    <w:rsid w:val="000D2897"/>
    <w:rsid w:val="000D3774"/>
    <w:rsid w:val="000D37C8"/>
    <w:rsid w:val="000D3829"/>
    <w:rsid w:val="000D55DA"/>
    <w:rsid w:val="000D5B5C"/>
    <w:rsid w:val="000D610F"/>
    <w:rsid w:val="000D671F"/>
    <w:rsid w:val="000D6953"/>
    <w:rsid w:val="000D6ABB"/>
    <w:rsid w:val="000E0341"/>
    <w:rsid w:val="000E03B6"/>
    <w:rsid w:val="000E0F59"/>
    <w:rsid w:val="000E15F4"/>
    <w:rsid w:val="000E2EE9"/>
    <w:rsid w:val="000E39A0"/>
    <w:rsid w:val="000E3E9D"/>
    <w:rsid w:val="000E50E0"/>
    <w:rsid w:val="000E5C5A"/>
    <w:rsid w:val="000E6597"/>
    <w:rsid w:val="000E7C0C"/>
    <w:rsid w:val="000F0711"/>
    <w:rsid w:val="000F2207"/>
    <w:rsid w:val="000F2257"/>
    <w:rsid w:val="000F2E9B"/>
    <w:rsid w:val="000F3DE6"/>
    <w:rsid w:val="000F4B8F"/>
    <w:rsid w:val="000F4CEE"/>
    <w:rsid w:val="000F571C"/>
    <w:rsid w:val="000F58C3"/>
    <w:rsid w:val="000F5BD2"/>
    <w:rsid w:val="000F6853"/>
    <w:rsid w:val="000F6F50"/>
    <w:rsid w:val="000F7700"/>
    <w:rsid w:val="00100B81"/>
    <w:rsid w:val="001018BB"/>
    <w:rsid w:val="00103969"/>
    <w:rsid w:val="00104A26"/>
    <w:rsid w:val="00104B65"/>
    <w:rsid w:val="001056BE"/>
    <w:rsid w:val="001064C8"/>
    <w:rsid w:val="001066CB"/>
    <w:rsid w:val="00106A5E"/>
    <w:rsid w:val="00106DFB"/>
    <w:rsid w:val="001072A3"/>
    <w:rsid w:val="001077A5"/>
    <w:rsid w:val="00107F13"/>
    <w:rsid w:val="00111467"/>
    <w:rsid w:val="00111C61"/>
    <w:rsid w:val="0011274F"/>
    <w:rsid w:val="00112B37"/>
    <w:rsid w:val="00112F29"/>
    <w:rsid w:val="0011322A"/>
    <w:rsid w:val="00113EA0"/>
    <w:rsid w:val="001145FD"/>
    <w:rsid w:val="00115330"/>
    <w:rsid w:val="00115C11"/>
    <w:rsid w:val="00115D83"/>
    <w:rsid w:val="00115F48"/>
    <w:rsid w:val="00116EA1"/>
    <w:rsid w:val="00117F9E"/>
    <w:rsid w:val="0012104B"/>
    <w:rsid w:val="001239AD"/>
    <w:rsid w:val="00123D50"/>
    <w:rsid w:val="00124D8D"/>
    <w:rsid w:val="00124EDE"/>
    <w:rsid w:val="00125175"/>
    <w:rsid w:val="0012525B"/>
    <w:rsid w:val="001253E2"/>
    <w:rsid w:val="00125532"/>
    <w:rsid w:val="001267CC"/>
    <w:rsid w:val="0012721E"/>
    <w:rsid w:val="00127348"/>
    <w:rsid w:val="00127EF1"/>
    <w:rsid w:val="00130A06"/>
    <w:rsid w:val="001314FA"/>
    <w:rsid w:val="00132620"/>
    <w:rsid w:val="00132E6C"/>
    <w:rsid w:val="00133D39"/>
    <w:rsid w:val="00133DBD"/>
    <w:rsid w:val="00134020"/>
    <w:rsid w:val="00135F27"/>
    <w:rsid w:val="00140301"/>
    <w:rsid w:val="001403E8"/>
    <w:rsid w:val="001405E9"/>
    <w:rsid w:val="00141545"/>
    <w:rsid w:val="00141CB3"/>
    <w:rsid w:val="001425C9"/>
    <w:rsid w:val="00142D3A"/>
    <w:rsid w:val="00142FD0"/>
    <w:rsid w:val="00145122"/>
    <w:rsid w:val="00145C95"/>
    <w:rsid w:val="00145EF0"/>
    <w:rsid w:val="00146818"/>
    <w:rsid w:val="00146AC6"/>
    <w:rsid w:val="0014791B"/>
    <w:rsid w:val="0015067B"/>
    <w:rsid w:val="0015129C"/>
    <w:rsid w:val="0015145E"/>
    <w:rsid w:val="00151C6C"/>
    <w:rsid w:val="0015265E"/>
    <w:rsid w:val="00152E4E"/>
    <w:rsid w:val="0015315A"/>
    <w:rsid w:val="00153882"/>
    <w:rsid w:val="00153F9E"/>
    <w:rsid w:val="00154359"/>
    <w:rsid w:val="0015451D"/>
    <w:rsid w:val="00154B7E"/>
    <w:rsid w:val="00154BAA"/>
    <w:rsid w:val="00155873"/>
    <w:rsid w:val="00155BD9"/>
    <w:rsid w:val="00155EC9"/>
    <w:rsid w:val="0015723B"/>
    <w:rsid w:val="001577A1"/>
    <w:rsid w:val="00157BC8"/>
    <w:rsid w:val="0016152D"/>
    <w:rsid w:val="00161541"/>
    <w:rsid w:val="00161B57"/>
    <w:rsid w:val="001621E1"/>
    <w:rsid w:val="0016418D"/>
    <w:rsid w:val="00164470"/>
    <w:rsid w:val="00165346"/>
    <w:rsid w:val="00165668"/>
    <w:rsid w:val="00165BF8"/>
    <w:rsid w:val="00166355"/>
    <w:rsid w:val="00166541"/>
    <w:rsid w:val="001677B7"/>
    <w:rsid w:val="00167E65"/>
    <w:rsid w:val="001701E8"/>
    <w:rsid w:val="00170422"/>
    <w:rsid w:val="00170CDF"/>
    <w:rsid w:val="00171680"/>
    <w:rsid w:val="001719DC"/>
    <w:rsid w:val="0017424B"/>
    <w:rsid w:val="00174DC0"/>
    <w:rsid w:val="00177D98"/>
    <w:rsid w:val="0018070F"/>
    <w:rsid w:val="00180DF2"/>
    <w:rsid w:val="0018178C"/>
    <w:rsid w:val="001817BC"/>
    <w:rsid w:val="00182309"/>
    <w:rsid w:val="001823FA"/>
    <w:rsid w:val="00186646"/>
    <w:rsid w:val="001900A9"/>
    <w:rsid w:val="00190A58"/>
    <w:rsid w:val="00192171"/>
    <w:rsid w:val="00192441"/>
    <w:rsid w:val="00192C92"/>
    <w:rsid w:val="00192CF2"/>
    <w:rsid w:val="00192FF2"/>
    <w:rsid w:val="00193D75"/>
    <w:rsid w:val="00194199"/>
    <w:rsid w:val="00195CB1"/>
    <w:rsid w:val="00196EFF"/>
    <w:rsid w:val="00197FB2"/>
    <w:rsid w:val="001A04B6"/>
    <w:rsid w:val="001A05DC"/>
    <w:rsid w:val="001A1645"/>
    <w:rsid w:val="001A1832"/>
    <w:rsid w:val="001A1B19"/>
    <w:rsid w:val="001A2590"/>
    <w:rsid w:val="001A3D19"/>
    <w:rsid w:val="001A43E8"/>
    <w:rsid w:val="001A4613"/>
    <w:rsid w:val="001A49A0"/>
    <w:rsid w:val="001A4B98"/>
    <w:rsid w:val="001A500E"/>
    <w:rsid w:val="001A5B49"/>
    <w:rsid w:val="001A62E9"/>
    <w:rsid w:val="001A65C2"/>
    <w:rsid w:val="001A6774"/>
    <w:rsid w:val="001A6B36"/>
    <w:rsid w:val="001A7254"/>
    <w:rsid w:val="001B0CA9"/>
    <w:rsid w:val="001B16F0"/>
    <w:rsid w:val="001B2FBC"/>
    <w:rsid w:val="001B42B1"/>
    <w:rsid w:val="001B49C1"/>
    <w:rsid w:val="001B5B7F"/>
    <w:rsid w:val="001B7228"/>
    <w:rsid w:val="001B7A60"/>
    <w:rsid w:val="001C00C6"/>
    <w:rsid w:val="001C00D3"/>
    <w:rsid w:val="001C0AB2"/>
    <w:rsid w:val="001C1639"/>
    <w:rsid w:val="001C28F3"/>
    <w:rsid w:val="001C30BE"/>
    <w:rsid w:val="001C36B9"/>
    <w:rsid w:val="001C3C2B"/>
    <w:rsid w:val="001C4720"/>
    <w:rsid w:val="001C648E"/>
    <w:rsid w:val="001C7C98"/>
    <w:rsid w:val="001D093C"/>
    <w:rsid w:val="001D21B3"/>
    <w:rsid w:val="001D2BA0"/>
    <w:rsid w:val="001D3B36"/>
    <w:rsid w:val="001D4130"/>
    <w:rsid w:val="001D49C0"/>
    <w:rsid w:val="001D6BF0"/>
    <w:rsid w:val="001D6D28"/>
    <w:rsid w:val="001D6E2F"/>
    <w:rsid w:val="001D70F0"/>
    <w:rsid w:val="001D7339"/>
    <w:rsid w:val="001D770B"/>
    <w:rsid w:val="001E0342"/>
    <w:rsid w:val="001E04DD"/>
    <w:rsid w:val="001E1011"/>
    <w:rsid w:val="001E1CB6"/>
    <w:rsid w:val="001E240F"/>
    <w:rsid w:val="001E4268"/>
    <w:rsid w:val="001E53CB"/>
    <w:rsid w:val="001E5F40"/>
    <w:rsid w:val="001E7FAC"/>
    <w:rsid w:val="001F0501"/>
    <w:rsid w:val="001F0D74"/>
    <w:rsid w:val="001F0E78"/>
    <w:rsid w:val="001F1E07"/>
    <w:rsid w:val="001F2C63"/>
    <w:rsid w:val="001F34BC"/>
    <w:rsid w:val="001F4E01"/>
    <w:rsid w:val="001F5DF1"/>
    <w:rsid w:val="001F7668"/>
    <w:rsid w:val="00200B5B"/>
    <w:rsid w:val="00203FE5"/>
    <w:rsid w:val="00204FBA"/>
    <w:rsid w:val="00205959"/>
    <w:rsid w:val="00206A4C"/>
    <w:rsid w:val="00206C82"/>
    <w:rsid w:val="00206FD6"/>
    <w:rsid w:val="002116D0"/>
    <w:rsid w:val="002116E9"/>
    <w:rsid w:val="002157A6"/>
    <w:rsid w:val="00215F07"/>
    <w:rsid w:val="0021603B"/>
    <w:rsid w:val="002172D5"/>
    <w:rsid w:val="00217878"/>
    <w:rsid w:val="00217B35"/>
    <w:rsid w:val="0022015A"/>
    <w:rsid w:val="0022037B"/>
    <w:rsid w:val="0022055C"/>
    <w:rsid w:val="0022082D"/>
    <w:rsid w:val="0022088B"/>
    <w:rsid w:val="0022100C"/>
    <w:rsid w:val="0022226F"/>
    <w:rsid w:val="00224E09"/>
    <w:rsid w:val="0023182A"/>
    <w:rsid w:val="00232D9F"/>
    <w:rsid w:val="00232E40"/>
    <w:rsid w:val="0023360D"/>
    <w:rsid w:val="00234544"/>
    <w:rsid w:val="002366F9"/>
    <w:rsid w:val="00237FF0"/>
    <w:rsid w:val="002401D9"/>
    <w:rsid w:val="00240211"/>
    <w:rsid w:val="00240361"/>
    <w:rsid w:val="0024132F"/>
    <w:rsid w:val="002416DC"/>
    <w:rsid w:val="00243D35"/>
    <w:rsid w:val="00243E9F"/>
    <w:rsid w:val="00244AAC"/>
    <w:rsid w:val="00244D31"/>
    <w:rsid w:val="00244DAB"/>
    <w:rsid w:val="00244FAB"/>
    <w:rsid w:val="00246446"/>
    <w:rsid w:val="00246BF5"/>
    <w:rsid w:val="00246E85"/>
    <w:rsid w:val="00246E9B"/>
    <w:rsid w:val="0024767F"/>
    <w:rsid w:val="002511F9"/>
    <w:rsid w:val="00254AFC"/>
    <w:rsid w:val="002558F2"/>
    <w:rsid w:val="002559E1"/>
    <w:rsid w:val="00256665"/>
    <w:rsid w:val="00256DDB"/>
    <w:rsid w:val="002601B4"/>
    <w:rsid w:val="00260C47"/>
    <w:rsid w:val="002617D3"/>
    <w:rsid w:val="00261E14"/>
    <w:rsid w:val="002637B9"/>
    <w:rsid w:val="00264292"/>
    <w:rsid w:val="002660F6"/>
    <w:rsid w:val="00266A96"/>
    <w:rsid w:val="002673CD"/>
    <w:rsid w:val="00267904"/>
    <w:rsid w:val="00270476"/>
    <w:rsid w:val="00271932"/>
    <w:rsid w:val="00271E6B"/>
    <w:rsid w:val="00272019"/>
    <w:rsid w:val="002726A1"/>
    <w:rsid w:val="00272867"/>
    <w:rsid w:val="00273637"/>
    <w:rsid w:val="002751E7"/>
    <w:rsid w:val="00275BE0"/>
    <w:rsid w:val="00276552"/>
    <w:rsid w:val="0027721E"/>
    <w:rsid w:val="002776B9"/>
    <w:rsid w:val="002779CF"/>
    <w:rsid w:val="00280498"/>
    <w:rsid w:val="00282413"/>
    <w:rsid w:val="00282846"/>
    <w:rsid w:val="00282A83"/>
    <w:rsid w:val="00283419"/>
    <w:rsid w:val="00283816"/>
    <w:rsid w:val="002844BA"/>
    <w:rsid w:val="00285365"/>
    <w:rsid w:val="00286CCB"/>
    <w:rsid w:val="00287325"/>
    <w:rsid w:val="002874C7"/>
    <w:rsid w:val="00287FBD"/>
    <w:rsid w:val="00290003"/>
    <w:rsid w:val="00290F67"/>
    <w:rsid w:val="00291126"/>
    <w:rsid w:val="00292985"/>
    <w:rsid w:val="002945C0"/>
    <w:rsid w:val="00294C35"/>
    <w:rsid w:val="002956A7"/>
    <w:rsid w:val="00296A9A"/>
    <w:rsid w:val="00296ACC"/>
    <w:rsid w:val="0029737A"/>
    <w:rsid w:val="00297CB2"/>
    <w:rsid w:val="00297D66"/>
    <w:rsid w:val="002A0914"/>
    <w:rsid w:val="002A14DF"/>
    <w:rsid w:val="002A1B39"/>
    <w:rsid w:val="002A1E03"/>
    <w:rsid w:val="002A2F50"/>
    <w:rsid w:val="002A3111"/>
    <w:rsid w:val="002A41CF"/>
    <w:rsid w:val="002A4B19"/>
    <w:rsid w:val="002A6AE5"/>
    <w:rsid w:val="002A6BD1"/>
    <w:rsid w:val="002B0128"/>
    <w:rsid w:val="002B033D"/>
    <w:rsid w:val="002B05C3"/>
    <w:rsid w:val="002B0AB8"/>
    <w:rsid w:val="002B1DDE"/>
    <w:rsid w:val="002B21F2"/>
    <w:rsid w:val="002B3293"/>
    <w:rsid w:val="002B3376"/>
    <w:rsid w:val="002B3DC6"/>
    <w:rsid w:val="002B5863"/>
    <w:rsid w:val="002B6057"/>
    <w:rsid w:val="002B703E"/>
    <w:rsid w:val="002B726C"/>
    <w:rsid w:val="002B7E8D"/>
    <w:rsid w:val="002C3097"/>
    <w:rsid w:val="002C3216"/>
    <w:rsid w:val="002C4347"/>
    <w:rsid w:val="002C4944"/>
    <w:rsid w:val="002C5B4E"/>
    <w:rsid w:val="002C5FFD"/>
    <w:rsid w:val="002C6CF9"/>
    <w:rsid w:val="002C7871"/>
    <w:rsid w:val="002D3463"/>
    <w:rsid w:val="002D34BB"/>
    <w:rsid w:val="002D5B30"/>
    <w:rsid w:val="002D69AC"/>
    <w:rsid w:val="002D7FED"/>
    <w:rsid w:val="002E19F6"/>
    <w:rsid w:val="002E2859"/>
    <w:rsid w:val="002E4A27"/>
    <w:rsid w:val="002E56A8"/>
    <w:rsid w:val="002E6756"/>
    <w:rsid w:val="002E7685"/>
    <w:rsid w:val="002F0253"/>
    <w:rsid w:val="002F27DD"/>
    <w:rsid w:val="002F294D"/>
    <w:rsid w:val="002F2D53"/>
    <w:rsid w:val="002F3F24"/>
    <w:rsid w:val="002F4276"/>
    <w:rsid w:val="002F4466"/>
    <w:rsid w:val="002F49BD"/>
    <w:rsid w:val="002F58F1"/>
    <w:rsid w:val="002F690B"/>
    <w:rsid w:val="002F6C41"/>
    <w:rsid w:val="002F7FCC"/>
    <w:rsid w:val="00300C19"/>
    <w:rsid w:val="00301715"/>
    <w:rsid w:val="00301FBE"/>
    <w:rsid w:val="0030259C"/>
    <w:rsid w:val="00302B77"/>
    <w:rsid w:val="0030356F"/>
    <w:rsid w:val="00303A50"/>
    <w:rsid w:val="00303AA5"/>
    <w:rsid w:val="00303B9B"/>
    <w:rsid w:val="003040B0"/>
    <w:rsid w:val="003046C2"/>
    <w:rsid w:val="00305D7F"/>
    <w:rsid w:val="00305E37"/>
    <w:rsid w:val="00305EB4"/>
    <w:rsid w:val="00305EF4"/>
    <w:rsid w:val="003100CD"/>
    <w:rsid w:val="0031111E"/>
    <w:rsid w:val="00311700"/>
    <w:rsid w:val="0031193E"/>
    <w:rsid w:val="00311AD4"/>
    <w:rsid w:val="003128E4"/>
    <w:rsid w:val="0031538E"/>
    <w:rsid w:val="00315604"/>
    <w:rsid w:val="003162EB"/>
    <w:rsid w:val="00316A84"/>
    <w:rsid w:val="00316AEA"/>
    <w:rsid w:val="00316CE7"/>
    <w:rsid w:val="00317A1E"/>
    <w:rsid w:val="00317A35"/>
    <w:rsid w:val="00317EF0"/>
    <w:rsid w:val="00320232"/>
    <w:rsid w:val="00320B25"/>
    <w:rsid w:val="0032119C"/>
    <w:rsid w:val="00322264"/>
    <w:rsid w:val="00323F27"/>
    <w:rsid w:val="00325395"/>
    <w:rsid w:val="0032585B"/>
    <w:rsid w:val="003258D4"/>
    <w:rsid w:val="00325BAE"/>
    <w:rsid w:val="0032663C"/>
    <w:rsid w:val="0032691B"/>
    <w:rsid w:val="00327601"/>
    <w:rsid w:val="003333AD"/>
    <w:rsid w:val="00333D32"/>
    <w:rsid w:val="0033417E"/>
    <w:rsid w:val="003343D6"/>
    <w:rsid w:val="0033460D"/>
    <w:rsid w:val="00334675"/>
    <w:rsid w:val="0033533B"/>
    <w:rsid w:val="00335E6F"/>
    <w:rsid w:val="003370AF"/>
    <w:rsid w:val="003378C3"/>
    <w:rsid w:val="0034024E"/>
    <w:rsid w:val="00340804"/>
    <w:rsid w:val="0034185F"/>
    <w:rsid w:val="00341E21"/>
    <w:rsid w:val="003424B5"/>
    <w:rsid w:val="003424EA"/>
    <w:rsid w:val="003429A8"/>
    <w:rsid w:val="00342A35"/>
    <w:rsid w:val="00343DFF"/>
    <w:rsid w:val="00343FC9"/>
    <w:rsid w:val="003444B7"/>
    <w:rsid w:val="003445E9"/>
    <w:rsid w:val="00347855"/>
    <w:rsid w:val="00347EFF"/>
    <w:rsid w:val="00350D10"/>
    <w:rsid w:val="00351B13"/>
    <w:rsid w:val="00353E9C"/>
    <w:rsid w:val="00354DA2"/>
    <w:rsid w:val="003550D7"/>
    <w:rsid w:val="00355217"/>
    <w:rsid w:val="003552A0"/>
    <w:rsid w:val="003559C1"/>
    <w:rsid w:val="00355A78"/>
    <w:rsid w:val="00361CF6"/>
    <w:rsid w:val="00362780"/>
    <w:rsid w:val="00362BEA"/>
    <w:rsid w:val="003638EE"/>
    <w:rsid w:val="0036699D"/>
    <w:rsid w:val="003671A1"/>
    <w:rsid w:val="00367F9E"/>
    <w:rsid w:val="003700CD"/>
    <w:rsid w:val="00370B8B"/>
    <w:rsid w:val="00370C47"/>
    <w:rsid w:val="0037130F"/>
    <w:rsid w:val="00371A17"/>
    <w:rsid w:val="00371A80"/>
    <w:rsid w:val="003729FA"/>
    <w:rsid w:val="00372EBB"/>
    <w:rsid w:val="003736D6"/>
    <w:rsid w:val="00374855"/>
    <w:rsid w:val="00374F53"/>
    <w:rsid w:val="00375646"/>
    <w:rsid w:val="00375A30"/>
    <w:rsid w:val="003760B8"/>
    <w:rsid w:val="00376598"/>
    <w:rsid w:val="00376AB2"/>
    <w:rsid w:val="00376D97"/>
    <w:rsid w:val="00377710"/>
    <w:rsid w:val="00377AAB"/>
    <w:rsid w:val="00377C2D"/>
    <w:rsid w:val="00380BF8"/>
    <w:rsid w:val="00381F06"/>
    <w:rsid w:val="00381F47"/>
    <w:rsid w:val="00384449"/>
    <w:rsid w:val="00384764"/>
    <w:rsid w:val="00384F59"/>
    <w:rsid w:val="003857FB"/>
    <w:rsid w:val="00385D7F"/>
    <w:rsid w:val="00386B46"/>
    <w:rsid w:val="0038792B"/>
    <w:rsid w:val="00391B1B"/>
    <w:rsid w:val="00391DE8"/>
    <w:rsid w:val="0039251B"/>
    <w:rsid w:val="003925F2"/>
    <w:rsid w:val="00394A85"/>
    <w:rsid w:val="00394C2E"/>
    <w:rsid w:val="00395099"/>
    <w:rsid w:val="00396BE9"/>
    <w:rsid w:val="00396E4F"/>
    <w:rsid w:val="003A0AF6"/>
    <w:rsid w:val="003A1680"/>
    <w:rsid w:val="003A1A04"/>
    <w:rsid w:val="003A2874"/>
    <w:rsid w:val="003A2A54"/>
    <w:rsid w:val="003A3BFB"/>
    <w:rsid w:val="003A41E0"/>
    <w:rsid w:val="003A6683"/>
    <w:rsid w:val="003B00A9"/>
    <w:rsid w:val="003B0FCA"/>
    <w:rsid w:val="003B14D7"/>
    <w:rsid w:val="003B1770"/>
    <w:rsid w:val="003B21E5"/>
    <w:rsid w:val="003B30B8"/>
    <w:rsid w:val="003B3DB7"/>
    <w:rsid w:val="003B4AB0"/>
    <w:rsid w:val="003B50B5"/>
    <w:rsid w:val="003B55B9"/>
    <w:rsid w:val="003B64A5"/>
    <w:rsid w:val="003B6F25"/>
    <w:rsid w:val="003B7809"/>
    <w:rsid w:val="003B7A7E"/>
    <w:rsid w:val="003C012C"/>
    <w:rsid w:val="003C040F"/>
    <w:rsid w:val="003C04FA"/>
    <w:rsid w:val="003C18C4"/>
    <w:rsid w:val="003C1B6D"/>
    <w:rsid w:val="003C1EA5"/>
    <w:rsid w:val="003C2C96"/>
    <w:rsid w:val="003C2DBC"/>
    <w:rsid w:val="003C330A"/>
    <w:rsid w:val="003C44B4"/>
    <w:rsid w:val="003C55D7"/>
    <w:rsid w:val="003C7103"/>
    <w:rsid w:val="003C726C"/>
    <w:rsid w:val="003C72D9"/>
    <w:rsid w:val="003D008A"/>
    <w:rsid w:val="003D0AEF"/>
    <w:rsid w:val="003D1661"/>
    <w:rsid w:val="003D1A15"/>
    <w:rsid w:val="003D1CAC"/>
    <w:rsid w:val="003D1E0D"/>
    <w:rsid w:val="003D21EE"/>
    <w:rsid w:val="003D225C"/>
    <w:rsid w:val="003D331C"/>
    <w:rsid w:val="003D3486"/>
    <w:rsid w:val="003D3A83"/>
    <w:rsid w:val="003D3B2B"/>
    <w:rsid w:val="003D5117"/>
    <w:rsid w:val="003D527A"/>
    <w:rsid w:val="003D64B2"/>
    <w:rsid w:val="003D782A"/>
    <w:rsid w:val="003E03F4"/>
    <w:rsid w:val="003E33C5"/>
    <w:rsid w:val="003E42B2"/>
    <w:rsid w:val="003E4650"/>
    <w:rsid w:val="003E4B9D"/>
    <w:rsid w:val="003E4F4D"/>
    <w:rsid w:val="003E612C"/>
    <w:rsid w:val="003E71D0"/>
    <w:rsid w:val="003F0261"/>
    <w:rsid w:val="003F0FE6"/>
    <w:rsid w:val="003F1BE2"/>
    <w:rsid w:val="003F2043"/>
    <w:rsid w:val="003F2148"/>
    <w:rsid w:val="003F2424"/>
    <w:rsid w:val="003F2F28"/>
    <w:rsid w:val="003F3259"/>
    <w:rsid w:val="003F40E9"/>
    <w:rsid w:val="003F4EAA"/>
    <w:rsid w:val="003F53F6"/>
    <w:rsid w:val="003F58D6"/>
    <w:rsid w:val="003F58DD"/>
    <w:rsid w:val="003F796F"/>
    <w:rsid w:val="00401B8F"/>
    <w:rsid w:val="004031D1"/>
    <w:rsid w:val="00404924"/>
    <w:rsid w:val="00404F1E"/>
    <w:rsid w:val="0040519A"/>
    <w:rsid w:val="00405CA1"/>
    <w:rsid w:val="00405DB0"/>
    <w:rsid w:val="00405F21"/>
    <w:rsid w:val="00406DDB"/>
    <w:rsid w:val="0040731E"/>
    <w:rsid w:val="00410240"/>
    <w:rsid w:val="0041042B"/>
    <w:rsid w:val="00410592"/>
    <w:rsid w:val="00412547"/>
    <w:rsid w:val="00414718"/>
    <w:rsid w:val="0041517D"/>
    <w:rsid w:val="00415470"/>
    <w:rsid w:val="00415D23"/>
    <w:rsid w:val="004176FF"/>
    <w:rsid w:val="00417EDB"/>
    <w:rsid w:val="00420206"/>
    <w:rsid w:val="0042125F"/>
    <w:rsid w:val="00421C83"/>
    <w:rsid w:val="00424BCB"/>
    <w:rsid w:val="0042538F"/>
    <w:rsid w:val="00425525"/>
    <w:rsid w:val="00425997"/>
    <w:rsid w:val="0042673D"/>
    <w:rsid w:val="00430C28"/>
    <w:rsid w:val="00432520"/>
    <w:rsid w:val="00433079"/>
    <w:rsid w:val="004351EE"/>
    <w:rsid w:val="00435994"/>
    <w:rsid w:val="00435DCD"/>
    <w:rsid w:val="004361CE"/>
    <w:rsid w:val="00436888"/>
    <w:rsid w:val="00437AEC"/>
    <w:rsid w:val="004407DF"/>
    <w:rsid w:val="00443261"/>
    <w:rsid w:val="00443702"/>
    <w:rsid w:val="0044567B"/>
    <w:rsid w:val="0044569F"/>
    <w:rsid w:val="00445936"/>
    <w:rsid w:val="00446882"/>
    <w:rsid w:val="004468B0"/>
    <w:rsid w:val="00446E1B"/>
    <w:rsid w:val="0044779D"/>
    <w:rsid w:val="004510FA"/>
    <w:rsid w:val="004512D2"/>
    <w:rsid w:val="0045162F"/>
    <w:rsid w:val="00451FE8"/>
    <w:rsid w:val="004520C4"/>
    <w:rsid w:val="00452E35"/>
    <w:rsid w:val="004533B4"/>
    <w:rsid w:val="00453900"/>
    <w:rsid w:val="004547B4"/>
    <w:rsid w:val="00455315"/>
    <w:rsid w:val="004555BC"/>
    <w:rsid w:val="00456EA9"/>
    <w:rsid w:val="00457216"/>
    <w:rsid w:val="0046134E"/>
    <w:rsid w:val="004618A2"/>
    <w:rsid w:val="00462618"/>
    <w:rsid w:val="00464106"/>
    <w:rsid w:val="00464A66"/>
    <w:rsid w:val="00465AED"/>
    <w:rsid w:val="00466786"/>
    <w:rsid w:val="00466FE0"/>
    <w:rsid w:val="00467182"/>
    <w:rsid w:val="004674D7"/>
    <w:rsid w:val="0046799B"/>
    <w:rsid w:val="00471C0F"/>
    <w:rsid w:val="004724E6"/>
    <w:rsid w:val="0047464A"/>
    <w:rsid w:val="004750AA"/>
    <w:rsid w:val="004754E7"/>
    <w:rsid w:val="00476597"/>
    <w:rsid w:val="0047704C"/>
    <w:rsid w:val="004772BE"/>
    <w:rsid w:val="0048054B"/>
    <w:rsid w:val="00482625"/>
    <w:rsid w:val="004831B8"/>
    <w:rsid w:val="004846FC"/>
    <w:rsid w:val="00484B82"/>
    <w:rsid w:val="00485907"/>
    <w:rsid w:val="00485F09"/>
    <w:rsid w:val="004903DF"/>
    <w:rsid w:val="00495820"/>
    <w:rsid w:val="00496855"/>
    <w:rsid w:val="004A111D"/>
    <w:rsid w:val="004A1157"/>
    <w:rsid w:val="004A22D4"/>
    <w:rsid w:val="004A2A1B"/>
    <w:rsid w:val="004A2C46"/>
    <w:rsid w:val="004A316C"/>
    <w:rsid w:val="004A3EB5"/>
    <w:rsid w:val="004A415D"/>
    <w:rsid w:val="004A5865"/>
    <w:rsid w:val="004A5DBB"/>
    <w:rsid w:val="004A6E0B"/>
    <w:rsid w:val="004A78A2"/>
    <w:rsid w:val="004A7E1D"/>
    <w:rsid w:val="004B0D01"/>
    <w:rsid w:val="004B0EA7"/>
    <w:rsid w:val="004B211C"/>
    <w:rsid w:val="004B282F"/>
    <w:rsid w:val="004B2C77"/>
    <w:rsid w:val="004B31AC"/>
    <w:rsid w:val="004B33A7"/>
    <w:rsid w:val="004B4273"/>
    <w:rsid w:val="004B53FA"/>
    <w:rsid w:val="004B5B24"/>
    <w:rsid w:val="004C098A"/>
    <w:rsid w:val="004C1949"/>
    <w:rsid w:val="004C1959"/>
    <w:rsid w:val="004C27B9"/>
    <w:rsid w:val="004C4256"/>
    <w:rsid w:val="004C50E0"/>
    <w:rsid w:val="004C55B9"/>
    <w:rsid w:val="004C5D00"/>
    <w:rsid w:val="004C622D"/>
    <w:rsid w:val="004C6711"/>
    <w:rsid w:val="004C69D5"/>
    <w:rsid w:val="004C6C6B"/>
    <w:rsid w:val="004C7740"/>
    <w:rsid w:val="004C78E9"/>
    <w:rsid w:val="004C793E"/>
    <w:rsid w:val="004D0D04"/>
    <w:rsid w:val="004D2176"/>
    <w:rsid w:val="004D243E"/>
    <w:rsid w:val="004D2A91"/>
    <w:rsid w:val="004D329B"/>
    <w:rsid w:val="004D46FA"/>
    <w:rsid w:val="004D46FD"/>
    <w:rsid w:val="004D7446"/>
    <w:rsid w:val="004E17C1"/>
    <w:rsid w:val="004E236F"/>
    <w:rsid w:val="004E2540"/>
    <w:rsid w:val="004E257F"/>
    <w:rsid w:val="004E2C5F"/>
    <w:rsid w:val="004E3B29"/>
    <w:rsid w:val="004E3B2F"/>
    <w:rsid w:val="004E48BB"/>
    <w:rsid w:val="004E4BD5"/>
    <w:rsid w:val="004E7B20"/>
    <w:rsid w:val="004F1561"/>
    <w:rsid w:val="004F1F7D"/>
    <w:rsid w:val="004F384D"/>
    <w:rsid w:val="004F498C"/>
    <w:rsid w:val="004F50CA"/>
    <w:rsid w:val="004F5458"/>
    <w:rsid w:val="004F5ED7"/>
    <w:rsid w:val="004F6C3D"/>
    <w:rsid w:val="004F7BCC"/>
    <w:rsid w:val="0050024C"/>
    <w:rsid w:val="00502ACB"/>
    <w:rsid w:val="00502C67"/>
    <w:rsid w:val="00503303"/>
    <w:rsid w:val="0050345A"/>
    <w:rsid w:val="00504F3F"/>
    <w:rsid w:val="00505B09"/>
    <w:rsid w:val="005060B7"/>
    <w:rsid w:val="0050671D"/>
    <w:rsid w:val="00506D9E"/>
    <w:rsid w:val="005073D5"/>
    <w:rsid w:val="00510DDC"/>
    <w:rsid w:val="00510F6D"/>
    <w:rsid w:val="00511F9B"/>
    <w:rsid w:val="00513B0E"/>
    <w:rsid w:val="005147A2"/>
    <w:rsid w:val="00516A63"/>
    <w:rsid w:val="005170E1"/>
    <w:rsid w:val="00517BE0"/>
    <w:rsid w:val="00520256"/>
    <w:rsid w:val="00521229"/>
    <w:rsid w:val="005219BC"/>
    <w:rsid w:val="00521B81"/>
    <w:rsid w:val="00521E4C"/>
    <w:rsid w:val="00523552"/>
    <w:rsid w:val="00523842"/>
    <w:rsid w:val="00523CC4"/>
    <w:rsid w:val="00524AC4"/>
    <w:rsid w:val="00524E9E"/>
    <w:rsid w:val="00527400"/>
    <w:rsid w:val="005300D2"/>
    <w:rsid w:val="0053091B"/>
    <w:rsid w:val="0053092F"/>
    <w:rsid w:val="00532B07"/>
    <w:rsid w:val="00532B22"/>
    <w:rsid w:val="005346C9"/>
    <w:rsid w:val="00534C21"/>
    <w:rsid w:val="00535155"/>
    <w:rsid w:val="00535C69"/>
    <w:rsid w:val="005362A5"/>
    <w:rsid w:val="00536B5F"/>
    <w:rsid w:val="00536D3C"/>
    <w:rsid w:val="00540119"/>
    <w:rsid w:val="005415D2"/>
    <w:rsid w:val="00542645"/>
    <w:rsid w:val="0054341A"/>
    <w:rsid w:val="005439A6"/>
    <w:rsid w:val="00544768"/>
    <w:rsid w:val="005471AD"/>
    <w:rsid w:val="005501DC"/>
    <w:rsid w:val="0055026B"/>
    <w:rsid w:val="0055039D"/>
    <w:rsid w:val="00552096"/>
    <w:rsid w:val="0055385A"/>
    <w:rsid w:val="00553F5A"/>
    <w:rsid w:val="00554750"/>
    <w:rsid w:val="00556C1B"/>
    <w:rsid w:val="00557A62"/>
    <w:rsid w:val="00560647"/>
    <w:rsid w:val="00564952"/>
    <w:rsid w:val="005656D3"/>
    <w:rsid w:val="005665CE"/>
    <w:rsid w:val="005676AF"/>
    <w:rsid w:val="005708A3"/>
    <w:rsid w:val="00570B41"/>
    <w:rsid w:val="00571710"/>
    <w:rsid w:val="0057172D"/>
    <w:rsid w:val="00572CE6"/>
    <w:rsid w:val="00574E2A"/>
    <w:rsid w:val="00574EC7"/>
    <w:rsid w:val="005753B6"/>
    <w:rsid w:val="005762D0"/>
    <w:rsid w:val="005837BA"/>
    <w:rsid w:val="00583D2D"/>
    <w:rsid w:val="005866C1"/>
    <w:rsid w:val="005902A2"/>
    <w:rsid w:val="00592917"/>
    <w:rsid w:val="005946E9"/>
    <w:rsid w:val="005963C2"/>
    <w:rsid w:val="005977B8"/>
    <w:rsid w:val="00597854"/>
    <w:rsid w:val="005A044E"/>
    <w:rsid w:val="005A0A8D"/>
    <w:rsid w:val="005A104B"/>
    <w:rsid w:val="005A12D0"/>
    <w:rsid w:val="005A1A87"/>
    <w:rsid w:val="005A2BCC"/>
    <w:rsid w:val="005A415A"/>
    <w:rsid w:val="005A4254"/>
    <w:rsid w:val="005A47AA"/>
    <w:rsid w:val="005A6393"/>
    <w:rsid w:val="005A6DEF"/>
    <w:rsid w:val="005B00E1"/>
    <w:rsid w:val="005B340A"/>
    <w:rsid w:val="005B4CB2"/>
    <w:rsid w:val="005B5302"/>
    <w:rsid w:val="005B5F36"/>
    <w:rsid w:val="005B77E0"/>
    <w:rsid w:val="005B7BF0"/>
    <w:rsid w:val="005B7FF3"/>
    <w:rsid w:val="005C0248"/>
    <w:rsid w:val="005C0327"/>
    <w:rsid w:val="005C1774"/>
    <w:rsid w:val="005C1F12"/>
    <w:rsid w:val="005C2B5E"/>
    <w:rsid w:val="005C2D02"/>
    <w:rsid w:val="005C413F"/>
    <w:rsid w:val="005C4320"/>
    <w:rsid w:val="005C4D61"/>
    <w:rsid w:val="005C4E1E"/>
    <w:rsid w:val="005C7731"/>
    <w:rsid w:val="005D0A82"/>
    <w:rsid w:val="005D0D6C"/>
    <w:rsid w:val="005D1C16"/>
    <w:rsid w:val="005D2DA9"/>
    <w:rsid w:val="005D33C7"/>
    <w:rsid w:val="005D471E"/>
    <w:rsid w:val="005D4D35"/>
    <w:rsid w:val="005D5A3D"/>
    <w:rsid w:val="005D694B"/>
    <w:rsid w:val="005D7108"/>
    <w:rsid w:val="005D7B24"/>
    <w:rsid w:val="005E232A"/>
    <w:rsid w:val="005E276C"/>
    <w:rsid w:val="005E2B63"/>
    <w:rsid w:val="005E2DFE"/>
    <w:rsid w:val="005E3FF8"/>
    <w:rsid w:val="005E5EC3"/>
    <w:rsid w:val="005E606F"/>
    <w:rsid w:val="005E69C7"/>
    <w:rsid w:val="005E6B3D"/>
    <w:rsid w:val="005E737D"/>
    <w:rsid w:val="005E79EE"/>
    <w:rsid w:val="005F0173"/>
    <w:rsid w:val="005F0286"/>
    <w:rsid w:val="005F1964"/>
    <w:rsid w:val="005F1B8B"/>
    <w:rsid w:val="005F1F38"/>
    <w:rsid w:val="005F2F43"/>
    <w:rsid w:val="0060081D"/>
    <w:rsid w:val="006010AF"/>
    <w:rsid w:val="0060198F"/>
    <w:rsid w:val="006019C3"/>
    <w:rsid w:val="00601EF6"/>
    <w:rsid w:val="00602EA1"/>
    <w:rsid w:val="00603029"/>
    <w:rsid w:val="0060318A"/>
    <w:rsid w:val="0060512D"/>
    <w:rsid w:val="00610851"/>
    <w:rsid w:val="00610A80"/>
    <w:rsid w:val="00610B8E"/>
    <w:rsid w:val="00610F81"/>
    <w:rsid w:val="0061270B"/>
    <w:rsid w:val="00612D9F"/>
    <w:rsid w:val="00613F0D"/>
    <w:rsid w:val="00614575"/>
    <w:rsid w:val="00615A89"/>
    <w:rsid w:val="00615B0E"/>
    <w:rsid w:val="00623ED1"/>
    <w:rsid w:val="00625149"/>
    <w:rsid w:val="00625ED9"/>
    <w:rsid w:val="006306F9"/>
    <w:rsid w:val="00630CD7"/>
    <w:rsid w:val="006310D5"/>
    <w:rsid w:val="00631809"/>
    <w:rsid w:val="006327FE"/>
    <w:rsid w:val="00633A2F"/>
    <w:rsid w:val="0063445A"/>
    <w:rsid w:val="0063591B"/>
    <w:rsid w:val="00636333"/>
    <w:rsid w:val="006365B3"/>
    <w:rsid w:val="00637241"/>
    <w:rsid w:val="00640D13"/>
    <w:rsid w:val="006416FF"/>
    <w:rsid w:val="00641F28"/>
    <w:rsid w:val="00643C87"/>
    <w:rsid w:val="006444B4"/>
    <w:rsid w:val="00644532"/>
    <w:rsid w:val="00644973"/>
    <w:rsid w:val="00645D2F"/>
    <w:rsid w:val="00646AE8"/>
    <w:rsid w:val="00646B95"/>
    <w:rsid w:val="00646CAA"/>
    <w:rsid w:val="00646D32"/>
    <w:rsid w:val="00646D36"/>
    <w:rsid w:val="00650C4F"/>
    <w:rsid w:val="00650CFE"/>
    <w:rsid w:val="00653748"/>
    <w:rsid w:val="00653DBC"/>
    <w:rsid w:val="006549BC"/>
    <w:rsid w:val="00654B71"/>
    <w:rsid w:val="0065606B"/>
    <w:rsid w:val="006565C3"/>
    <w:rsid w:val="00657A13"/>
    <w:rsid w:val="00657ED7"/>
    <w:rsid w:val="0066013C"/>
    <w:rsid w:val="00660156"/>
    <w:rsid w:val="0066171B"/>
    <w:rsid w:val="00661780"/>
    <w:rsid w:val="006617FF"/>
    <w:rsid w:val="00661D6E"/>
    <w:rsid w:val="00662D7B"/>
    <w:rsid w:val="00664C78"/>
    <w:rsid w:val="0066522A"/>
    <w:rsid w:val="00665916"/>
    <w:rsid w:val="00665B40"/>
    <w:rsid w:val="00666121"/>
    <w:rsid w:val="006661A9"/>
    <w:rsid w:val="00666A2E"/>
    <w:rsid w:val="0066712C"/>
    <w:rsid w:val="006679B5"/>
    <w:rsid w:val="00667AE7"/>
    <w:rsid w:val="00667AF1"/>
    <w:rsid w:val="00671A74"/>
    <w:rsid w:val="00671E2D"/>
    <w:rsid w:val="00671FEC"/>
    <w:rsid w:val="006723D6"/>
    <w:rsid w:val="00672E5A"/>
    <w:rsid w:val="006736C0"/>
    <w:rsid w:val="00673911"/>
    <w:rsid w:val="00674F93"/>
    <w:rsid w:val="00675183"/>
    <w:rsid w:val="0067593E"/>
    <w:rsid w:val="00677336"/>
    <w:rsid w:val="00677479"/>
    <w:rsid w:val="00677AEC"/>
    <w:rsid w:val="00680665"/>
    <w:rsid w:val="0068067A"/>
    <w:rsid w:val="006815C0"/>
    <w:rsid w:val="00682528"/>
    <w:rsid w:val="00684F78"/>
    <w:rsid w:val="00685D09"/>
    <w:rsid w:val="00685DC8"/>
    <w:rsid w:val="00686256"/>
    <w:rsid w:val="006872EF"/>
    <w:rsid w:val="00687321"/>
    <w:rsid w:val="006875D0"/>
    <w:rsid w:val="0068772F"/>
    <w:rsid w:val="00687C30"/>
    <w:rsid w:val="00687CF7"/>
    <w:rsid w:val="0069133E"/>
    <w:rsid w:val="006926B7"/>
    <w:rsid w:val="00692F72"/>
    <w:rsid w:val="0069448F"/>
    <w:rsid w:val="00694F94"/>
    <w:rsid w:val="00695334"/>
    <w:rsid w:val="00696EFD"/>
    <w:rsid w:val="006A045C"/>
    <w:rsid w:val="006A0868"/>
    <w:rsid w:val="006A09D7"/>
    <w:rsid w:val="006A0CF9"/>
    <w:rsid w:val="006A1197"/>
    <w:rsid w:val="006A2737"/>
    <w:rsid w:val="006A51A8"/>
    <w:rsid w:val="006A5E25"/>
    <w:rsid w:val="006A6116"/>
    <w:rsid w:val="006A6601"/>
    <w:rsid w:val="006B10BD"/>
    <w:rsid w:val="006B408D"/>
    <w:rsid w:val="006B487F"/>
    <w:rsid w:val="006B5FB5"/>
    <w:rsid w:val="006B6B6A"/>
    <w:rsid w:val="006B6E13"/>
    <w:rsid w:val="006B7125"/>
    <w:rsid w:val="006B7ADA"/>
    <w:rsid w:val="006C01F3"/>
    <w:rsid w:val="006C020F"/>
    <w:rsid w:val="006C19CE"/>
    <w:rsid w:val="006C21C3"/>
    <w:rsid w:val="006C31B4"/>
    <w:rsid w:val="006C38B6"/>
    <w:rsid w:val="006C41C8"/>
    <w:rsid w:val="006C5928"/>
    <w:rsid w:val="006C6359"/>
    <w:rsid w:val="006C64B6"/>
    <w:rsid w:val="006C7DA0"/>
    <w:rsid w:val="006D0DED"/>
    <w:rsid w:val="006D2D5D"/>
    <w:rsid w:val="006D2EAA"/>
    <w:rsid w:val="006D30C2"/>
    <w:rsid w:val="006D3F96"/>
    <w:rsid w:val="006D42BC"/>
    <w:rsid w:val="006D4CBB"/>
    <w:rsid w:val="006D6200"/>
    <w:rsid w:val="006D6933"/>
    <w:rsid w:val="006D7405"/>
    <w:rsid w:val="006D747B"/>
    <w:rsid w:val="006D7C46"/>
    <w:rsid w:val="006E0607"/>
    <w:rsid w:val="006E078A"/>
    <w:rsid w:val="006E07E8"/>
    <w:rsid w:val="006E138C"/>
    <w:rsid w:val="006E45E1"/>
    <w:rsid w:val="006E5A22"/>
    <w:rsid w:val="006E5B5C"/>
    <w:rsid w:val="006E7B01"/>
    <w:rsid w:val="006E7F34"/>
    <w:rsid w:val="006F11D7"/>
    <w:rsid w:val="006F18A7"/>
    <w:rsid w:val="006F1995"/>
    <w:rsid w:val="006F19F3"/>
    <w:rsid w:val="006F2944"/>
    <w:rsid w:val="006F430F"/>
    <w:rsid w:val="006F4A27"/>
    <w:rsid w:val="006F6E15"/>
    <w:rsid w:val="006F7B1B"/>
    <w:rsid w:val="006F7F9B"/>
    <w:rsid w:val="007000AD"/>
    <w:rsid w:val="00701C8D"/>
    <w:rsid w:val="0070229A"/>
    <w:rsid w:val="00704A29"/>
    <w:rsid w:val="00705135"/>
    <w:rsid w:val="007058BB"/>
    <w:rsid w:val="00705B57"/>
    <w:rsid w:val="00705D10"/>
    <w:rsid w:val="007064CE"/>
    <w:rsid w:val="00706CAD"/>
    <w:rsid w:val="0070715A"/>
    <w:rsid w:val="007077DE"/>
    <w:rsid w:val="00707BBD"/>
    <w:rsid w:val="007102F2"/>
    <w:rsid w:val="007104DC"/>
    <w:rsid w:val="00710F58"/>
    <w:rsid w:val="00710F6D"/>
    <w:rsid w:val="0071187A"/>
    <w:rsid w:val="00713748"/>
    <w:rsid w:val="007158D9"/>
    <w:rsid w:val="00715E54"/>
    <w:rsid w:val="00717164"/>
    <w:rsid w:val="00720346"/>
    <w:rsid w:val="00720962"/>
    <w:rsid w:val="00721356"/>
    <w:rsid w:val="00723891"/>
    <w:rsid w:val="0072501D"/>
    <w:rsid w:val="0072632D"/>
    <w:rsid w:val="007268D8"/>
    <w:rsid w:val="00730159"/>
    <w:rsid w:val="007329F2"/>
    <w:rsid w:val="007349D7"/>
    <w:rsid w:val="00734AED"/>
    <w:rsid w:val="00734D45"/>
    <w:rsid w:val="00735DEA"/>
    <w:rsid w:val="00736670"/>
    <w:rsid w:val="007378AA"/>
    <w:rsid w:val="00740508"/>
    <w:rsid w:val="00741017"/>
    <w:rsid w:val="00742047"/>
    <w:rsid w:val="00742B71"/>
    <w:rsid w:val="0074367B"/>
    <w:rsid w:val="0074400F"/>
    <w:rsid w:val="00746377"/>
    <w:rsid w:val="0074768B"/>
    <w:rsid w:val="00747BBA"/>
    <w:rsid w:val="00747F9D"/>
    <w:rsid w:val="00750DB2"/>
    <w:rsid w:val="00751942"/>
    <w:rsid w:val="007531D4"/>
    <w:rsid w:val="00753BD0"/>
    <w:rsid w:val="0075459E"/>
    <w:rsid w:val="00755502"/>
    <w:rsid w:val="00757056"/>
    <w:rsid w:val="00760048"/>
    <w:rsid w:val="007607F1"/>
    <w:rsid w:val="00761D52"/>
    <w:rsid w:val="007620DA"/>
    <w:rsid w:val="00763172"/>
    <w:rsid w:val="00766B1F"/>
    <w:rsid w:val="007677BE"/>
    <w:rsid w:val="00767E7E"/>
    <w:rsid w:val="0077309E"/>
    <w:rsid w:val="0077463C"/>
    <w:rsid w:val="007750FF"/>
    <w:rsid w:val="007763AB"/>
    <w:rsid w:val="00776576"/>
    <w:rsid w:val="0077789A"/>
    <w:rsid w:val="00780643"/>
    <w:rsid w:val="007815AE"/>
    <w:rsid w:val="00781C77"/>
    <w:rsid w:val="0078304A"/>
    <w:rsid w:val="00783186"/>
    <w:rsid w:val="0078368F"/>
    <w:rsid w:val="00785558"/>
    <w:rsid w:val="00785980"/>
    <w:rsid w:val="00786174"/>
    <w:rsid w:val="00790EE6"/>
    <w:rsid w:val="00790F38"/>
    <w:rsid w:val="00791CA7"/>
    <w:rsid w:val="007933CA"/>
    <w:rsid w:val="0079390D"/>
    <w:rsid w:val="00794663"/>
    <w:rsid w:val="00794B4B"/>
    <w:rsid w:val="0079549F"/>
    <w:rsid w:val="00795A94"/>
    <w:rsid w:val="007970C1"/>
    <w:rsid w:val="007A027D"/>
    <w:rsid w:val="007A0520"/>
    <w:rsid w:val="007A060B"/>
    <w:rsid w:val="007A07BA"/>
    <w:rsid w:val="007A2189"/>
    <w:rsid w:val="007A21A0"/>
    <w:rsid w:val="007A48A0"/>
    <w:rsid w:val="007A48FF"/>
    <w:rsid w:val="007A54A9"/>
    <w:rsid w:val="007A555A"/>
    <w:rsid w:val="007A6114"/>
    <w:rsid w:val="007B1677"/>
    <w:rsid w:val="007B1A0D"/>
    <w:rsid w:val="007B1B62"/>
    <w:rsid w:val="007B2AC7"/>
    <w:rsid w:val="007B2B9B"/>
    <w:rsid w:val="007B2BFA"/>
    <w:rsid w:val="007C0024"/>
    <w:rsid w:val="007C268D"/>
    <w:rsid w:val="007C27BC"/>
    <w:rsid w:val="007C4164"/>
    <w:rsid w:val="007C4506"/>
    <w:rsid w:val="007C4A9A"/>
    <w:rsid w:val="007C4DDD"/>
    <w:rsid w:val="007C515E"/>
    <w:rsid w:val="007C6720"/>
    <w:rsid w:val="007C6F46"/>
    <w:rsid w:val="007C7631"/>
    <w:rsid w:val="007D0343"/>
    <w:rsid w:val="007D07D3"/>
    <w:rsid w:val="007D51D6"/>
    <w:rsid w:val="007D5A9F"/>
    <w:rsid w:val="007D7766"/>
    <w:rsid w:val="007E0624"/>
    <w:rsid w:val="007E0FF3"/>
    <w:rsid w:val="007E10B0"/>
    <w:rsid w:val="007E25AD"/>
    <w:rsid w:val="007E2FBE"/>
    <w:rsid w:val="007E38C4"/>
    <w:rsid w:val="007E47E5"/>
    <w:rsid w:val="007E4D81"/>
    <w:rsid w:val="007E623F"/>
    <w:rsid w:val="007E6482"/>
    <w:rsid w:val="007E66B9"/>
    <w:rsid w:val="007E70C2"/>
    <w:rsid w:val="007E73D4"/>
    <w:rsid w:val="007E76EE"/>
    <w:rsid w:val="007F1A52"/>
    <w:rsid w:val="007F1E99"/>
    <w:rsid w:val="007F38ED"/>
    <w:rsid w:val="007F4517"/>
    <w:rsid w:val="007F48D6"/>
    <w:rsid w:val="007F4AE1"/>
    <w:rsid w:val="00800825"/>
    <w:rsid w:val="00803CF7"/>
    <w:rsid w:val="00803FD4"/>
    <w:rsid w:val="00804ABE"/>
    <w:rsid w:val="00804D6F"/>
    <w:rsid w:val="00804D8F"/>
    <w:rsid w:val="00805070"/>
    <w:rsid w:val="00806227"/>
    <w:rsid w:val="0080630B"/>
    <w:rsid w:val="008103F5"/>
    <w:rsid w:val="008110FE"/>
    <w:rsid w:val="00811190"/>
    <w:rsid w:val="00812748"/>
    <w:rsid w:val="00814F1C"/>
    <w:rsid w:val="00815684"/>
    <w:rsid w:val="00815CB9"/>
    <w:rsid w:val="008169D6"/>
    <w:rsid w:val="00816D2E"/>
    <w:rsid w:val="00817250"/>
    <w:rsid w:val="00817C8C"/>
    <w:rsid w:val="00820D2D"/>
    <w:rsid w:val="00820EB3"/>
    <w:rsid w:val="0082225F"/>
    <w:rsid w:val="00822622"/>
    <w:rsid w:val="00822630"/>
    <w:rsid w:val="00824CC8"/>
    <w:rsid w:val="00825009"/>
    <w:rsid w:val="0082558A"/>
    <w:rsid w:val="00826244"/>
    <w:rsid w:val="00826969"/>
    <w:rsid w:val="00826C9D"/>
    <w:rsid w:val="00826EA5"/>
    <w:rsid w:val="0082734C"/>
    <w:rsid w:val="00827931"/>
    <w:rsid w:val="0083110F"/>
    <w:rsid w:val="00831748"/>
    <w:rsid w:val="00831B81"/>
    <w:rsid w:val="00831CFF"/>
    <w:rsid w:val="008333E3"/>
    <w:rsid w:val="00833C67"/>
    <w:rsid w:val="00833CC3"/>
    <w:rsid w:val="008352BA"/>
    <w:rsid w:val="00835CD5"/>
    <w:rsid w:val="0083612E"/>
    <w:rsid w:val="00836A1A"/>
    <w:rsid w:val="00836B8B"/>
    <w:rsid w:val="00836DE7"/>
    <w:rsid w:val="00837322"/>
    <w:rsid w:val="00840BDA"/>
    <w:rsid w:val="00841A8E"/>
    <w:rsid w:val="00842E7B"/>
    <w:rsid w:val="00843B89"/>
    <w:rsid w:val="00846355"/>
    <w:rsid w:val="00847005"/>
    <w:rsid w:val="00852D0C"/>
    <w:rsid w:val="00852D88"/>
    <w:rsid w:val="00853DC3"/>
    <w:rsid w:val="00854BF4"/>
    <w:rsid w:val="0085519C"/>
    <w:rsid w:val="008556D8"/>
    <w:rsid w:val="008558F1"/>
    <w:rsid w:val="00856577"/>
    <w:rsid w:val="0085768F"/>
    <w:rsid w:val="0085796F"/>
    <w:rsid w:val="00857C66"/>
    <w:rsid w:val="00857F7C"/>
    <w:rsid w:val="0086103F"/>
    <w:rsid w:val="00863F59"/>
    <w:rsid w:val="00864270"/>
    <w:rsid w:val="00864D79"/>
    <w:rsid w:val="00866725"/>
    <w:rsid w:val="00866CEE"/>
    <w:rsid w:val="008671EB"/>
    <w:rsid w:val="00870201"/>
    <w:rsid w:val="00870734"/>
    <w:rsid w:val="0087175D"/>
    <w:rsid w:val="0087202E"/>
    <w:rsid w:val="008721A7"/>
    <w:rsid w:val="008736A0"/>
    <w:rsid w:val="00873B43"/>
    <w:rsid w:val="00874B69"/>
    <w:rsid w:val="00875AD8"/>
    <w:rsid w:val="00876627"/>
    <w:rsid w:val="00876642"/>
    <w:rsid w:val="00876EE0"/>
    <w:rsid w:val="00877B2D"/>
    <w:rsid w:val="00877EF3"/>
    <w:rsid w:val="00880F34"/>
    <w:rsid w:val="00881FF7"/>
    <w:rsid w:val="008821E4"/>
    <w:rsid w:val="00882A21"/>
    <w:rsid w:val="00883731"/>
    <w:rsid w:val="00883A81"/>
    <w:rsid w:val="00883E2E"/>
    <w:rsid w:val="0088409D"/>
    <w:rsid w:val="00884B73"/>
    <w:rsid w:val="0088519A"/>
    <w:rsid w:val="008851FC"/>
    <w:rsid w:val="008869DB"/>
    <w:rsid w:val="00887515"/>
    <w:rsid w:val="00887F2A"/>
    <w:rsid w:val="008918E5"/>
    <w:rsid w:val="00893A72"/>
    <w:rsid w:val="00893FBE"/>
    <w:rsid w:val="0089412A"/>
    <w:rsid w:val="00895B37"/>
    <w:rsid w:val="00897FC1"/>
    <w:rsid w:val="008A12FA"/>
    <w:rsid w:val="008A1D32"/>
    <w:rsid w:val="008A1EDC"/>
    <w:rsid w:val="008A20FC"/>
    <w:rsid w:val="008A4B46"/>
    <w:rsid w:val="008A4D17"/>
    <w:rsid w:val="008A4D34"/>
    <w:rsid w:val="008A5DAA"/>
    <w:rsid w:val="008A6013"/>
    <w:rsid w:val="008A72FD"/>
    <w:rsid w:val="008B32B4"/>
    <w:rsid w:val="008B423E"/>
    <w:rsid w:val="008B4607"/>
    <w:rsid w:val="008B4E1E"/>
    <w:rsid w:val="008B582D"/>
    <w:rsid w:val="008B613B"/>
    <w:rsid w:val="008B6F9D"/>
    <w:rsid w:val="008B732E"/>
    <w:rsid w:val="008C17EC"/>
    <w:rsid w:val="008C2B3E"/>
    <w:rsid w:val="008C317C"/>
    <w:rsid w:val="008C3226"/>
    <w:rsid w:val="008C337D"/>
    <w:rsid w:val="008C4342"/>
    <w:rsid w:val="008C4804"/>
    <w:rsid w:val="008C6E35"/>
    <w:rsid w:val="008D0964"/>
    <w:rsid w:val="008D0C1D"/>
    <w:rsid w:val="008D1971"/>
    <w:rsid w:val="008D1EF3"/>
    <w:rsid w:val="008D2244"/>
    <w:rsid w:val="008D53DE"/>
    <w:rsid w:val="008D5D59"/>
    <w:rsid w:val="008D64CB"/>
    <w:rsid w:val="008D693F"/>
    <w:rsid w:val="008E0383"/>
    <w:rsid w:val="008E0386"/>
    <w:rsid w:val="008E0758"/>
    <w:rsid w:val="008E1E7A"/>
    <w:rsid w:val="008E34B0"/>
    <w:rsid w:val="008E60D5"/>
    <w:rsid w:val="008E68B3"/>
    <w:rsid w:val="008E79BF"/>
    <w:rsid w:val="008E7BD4"/>
    <w:rsid w:val="008F011F"/>
    <w:rsid w:val="008F02CC"/>
    <w:rsid w:val="008F02CD"/>
    <w:rsid w:val="008F0E09"/>
    <w:rsid w:val="008F0F89"/>
    <w:rsid w:val="008F156A"/>
    <w:rsid w:val="008F2C09"/>
    <w:rsid w:val="008F2E47"/>
    <w:rsid w:val="008F4156"/>
    <w:rsid w:val="008F45A9"/>
    <w:rsid w:val="008F4795"/>
    <w:rsid w:val="008F4B47"/>
    <w:rsid w:val="008F5967"/>
    <w:rsid w:val="008F6636"/>
    <w:rsid w:val="008F704C"/>
    <w:rsid w:val="008F7E7F"/>
    <w:rsid w:val="0090002F"/>
    <w:rsid w:val="00900802"/>
    <w:rsid w:val="00900AB6"/>
    <w:rsid w:val="009023F5"/>
    <w:rsid w:val="009037ED"/>
    <w:rsid w:val="009043F0"/>
    <w:rsid w:val="00904982"/>
    <w:rsid w:val="00904FE6"/>
    <w:rsid w:val="0090553A"/>
    <w:rsid w:val="00906CB4"/>
    <w:rsid w:val="00906EFF"/>
    <w:rsid w:val="009078AB"/>
    <w:rsid w:val="00907E18"/>
    <w:rsid w:val="00911EC0"/>
    <w:rsid w:val="00912422"/>
    <w:rsid w:val="00912B92"/>
    <w:rsid w:val="009132D5"/>
    <w:rsid w:val="00913CCC"/>
    <w:rsid w:val="00915A19"/>
    <w:rsid w:val="00915EA1"/>
    <w:rsid w:val="00916232"/>
    <w:rsid w:val="00916489"/>
    <w:rsid w:val="00917973"/>
    <w:rsid w:val="009200AC"/>
    <w:rsid w:val="00920802"/>
    <w:rsid w:val="00922A90"/>
    <w:rsid w:val="0092312B"/>
    <w:rsid w:val="0092451D"/>
    <w:rsid w:val="0092464B"/>
    <w:rsid w:val="00924D0D"/>
    <w:rsid w:val="00925CBD"/>
    <w:rsid w:val="00925DFD"/>
    <w:rsid w:val="00926C42"/>
    <w:rsid w:val="0092734D"/>
    <w:rsid w:val="0092755B"/>
    <w:rsid w:val="00927AE8"/>
    <w:rsid w:val="0093093F"/>
    <w:rsid w:val="00931097"/>
    <w:rsid w:val="0093350D"/>
    <w:rsid w:val="00933C65"/>
    <w:rsid w:val="00935AE2"/>
    <w:rsid w:val="00935C0A"/>
    <w:rsid w:val="009364CB"/>
    <w:rsid w:val="00940361"/>
    <w:rsid w:val="0094133E"/>
    <w:rsid w:val="00942078"/>
    <w:rsid w:val="009423F9"/>
    <w:rsid w:val="009427AF"/>
    <w:rsid w:val="00943CD8"/>
    <w:rsid w:val="00943D45"/>
    <w:rsid w:val="0094527B"/>
    <w:rsid w:val="0094528A"/>
    <w:rsid w:val="00945A6B"/>
    <w:rsid w:val="00946BAC"/>
    <w:rsid w:val="0095069F"/>
    <w:rsid w:val="00950F46"/>
    <w:rsid w:val="00952819"/>
    <w:rsid w:val="00953E37"/>
    <w:rsid w:val="009549A6"/>
    <w:rsid w:val="009551A6"/>
    <w:rsid w:val="009557B8"/>
    <w:rsid w:val="00955BB6"/>
    <w:rsid w:val="00957416"/>
    <w:rsid w:val="009576C9"/>
    <w:rsid w:val="00957728"/>
    <w:rsid w:val="00957BD8"/>
    <w:rsid w:val="00960827"/>
    <w:rsid w:val="00960C3A"/>
    <w:rsid w:val="00960F21"/>
    <w:rsid w:val="00961EFF"/>
    <w:rsid w:val="00963AC5"/>
    <w:rsid w:val="00964613"/>
    <w:rsid w:val="00965579"/>
    <w:rsid w:val="00965EBF"/>
    <w:rsid w:val="00966E71"/>
    <w:rsid w:val="00967054"/>
    <w:rsid w:val="00967B33"/>
    <w:rsid w:val="00967CEA"/>
    <w:rsid w:val="009707E1"/>
    <w:rsid w:val="00971263"/>
    <w:rsid w:val="00971B6D"/>
    <w:rsid w:val="00971F62"/>
    <w:rsid w:val="00973648"/>
    <w:rsid w:val="00974B02"/>
    <w:rsid w:val="00976F35"/>
    <w:rsid w:val="009774F7"/>
    <w:rsid w:val="00977B8A"/>
    <w:rsid w:val="00980825"/>
    <w:rsid w:val="00980992"/>
    <w:rsid w:val="00980F10"/>
    <w:rsid w:val="0098264C"/>
    <w:rsid w:val="00982C67"/>
    <w:rsid w:val="00983009"/>
    <w:rsid w:val="00983F33"/>
    <w:rsid w:val="009856CE"/>
    <w:rsid w:val="00985B2D"/>
    <w:rsid w:val="009874A6"/>
    <w:rsid w:val="00987D62"/>
    <w:rsid w:val="0099014A"/>
    <w:rsid w:val="009912FF"/>
    <w:rsid w:val="00991876"/>
    <w:rsid w:val="00991919"/>
    <w:rsid w:val="00991BEA"/>
    <w:rsid w:val="00991E63"/>
    <w:rsid w:val="009928BA"/>
    <w:rsid w:val="00992AC5"/>
    <w:rsid w:val="00992F4B"/>
    <w:rsid w:val="009941FB"/>
    <w:rsid w:val="009945DB"/>
    <w:rsid w:val="00995062"/>
    <w:rsid w:val="00995AA5"/>
    <w:rsid w:val="00995D9C"/>
    <w:rsid w:val="009975AE"/>
    <w:rsid w:val="009A06B7"/>
    <w:rsid w:val="009A1DC6"/>
    <w:rsid w:val="009A23EA"/>
    <w:rsid w:val="009A2A97"/>
    <w:rsid w:val="009A371C"/>
    <w:rsid w:val="009A3DE8"/>
    <w:rsid w:val="009A408C"/>
    <w:rsid w:val="009A43AC"/>
    <w:rsid w:val="009A65CC"/>
    <w:rsid w:val="009A70CD"/>
    <w:rsid w:val="009A7716"/>
    <w:rsid w:val="009B1B2D"/>
    <w:rsid w:val="009B2672"/>
    <w:rsid w:val="009B2783"/>
    <w:rsid w:val="009B361D"/>
    <w:rsid w:val="009B3DF4"/>
    <w:rsid w:val="009B4F96"/>
    <w:rsid w:val="009B5637"/>
    <w:rsid w:val="009B57B8"/>
    <w:rsid w:val="009B5DD7"/>
    <w:rsid w:val="009B60FD"/>
    <w:rsid w:val="009B6FC3"/>
    <w:rsid w:val="009B7EFF"/>
    <w:rsid w:val="009C0385"/>
    <w:rsid w:val="009C10E6"/>
    <w:rsid w:val="009C1B00"/>
    <w:rsid w:val="009C5060"/>
    <w:rsid w:val="009C5409"/>
    <w:rsid w:val="009C601F"/>
    <w:rsid w:val="009C603D"/>
    <w:rsid w:val="009C6C2D"/>
    <w:rsid w:val="009D1977"/>
    <w:rsid w:val="009D1EDE"/>
    <w:rsid w:val="009D42AC"/>
    <w:rsid w:val="009D4B0B"/>
    <w:rsid w:val="009D5F37"/>
    <w:rsid w:val="009D6C4B"/>
    <w:rsid w:val="009E0B4C"/>
    <w:rsid w:val="009E2F53"/>
    <w:rsid w:val="009E3366"/>
    <w:rsid w:val="009E353A"/>
    <w:rsid w:val="009E3B37"/>
    <w:rsid w:val="009E3DAF"/>
    <w:rsid w:val="009E4500"/>
    <w:rsid w:val="009E4594"/>
    <w:rsid w:val="009E50AB"/>
    <w:rsid w:val="009E6169"/>
    <w:rsid w:val="009E6545"/>
    <w:rsid w:val="009E65CF"/>
    <w:rsid w:val="009E796C"/>
    <w:rsid w:val="009E79D1"/>
    <w:rsid w:val="009F3166"/>
    <w:rsid w:val="009F35DC"/>
    <w:rsid w:val="009F6904"/>
    <w:rsid w:val="009F7025"/>
    <w:rsid w:val="00A0006C"/>
    <w:rsid w:val="00A0269A"/>
    <w:rsid w:val="00A035DE"/>
    <w:rsid w:val="00A0373C"/>
    <w:rsid w:val="00A05EC4"/>
    <w:rsid w:val="00A06395"/>
    <w:rsid w:val="00A06BBF"/>
    <w:rsid w:val="00A06E64"/>
    <w:rsid w:val="00A06FF9"/>
    <w:rsid w:val="00A07EC9"/>
    <w:rsid w:val="00A07F6D"/>
    <w:rsid w:val="00A107C7"/>
    <w:rsid w:val="00A10A32"/>
    <w:rsid w:val="00A10A9B"/>
    <w:rsid w:val="00A116FE"/>
    <w:rsid w:val="00A11C2A"/>
    <w:rsid w:val="00A13AFB"/>
    <w:rsid w:val="00A14311"/>
    <w:rsid w:val="00A14513"/>
    <w:rsid w:val="00A14A5F"/>
    <w:rsid w:val="00A15344"/>
    <w:rsid w:val="00A15455"/>
    <w:rsid w:val="00A15EF9"/>
    <w:rsid w:val="00A162DB"/>
    <w:rsid w:val="00A168EC"/>
    <w:rsid w:val="00A17504"/>
    <w:rsid w:val="00A178BC"/>
    <w:rsid w:val="00A20113"/>
    <w:rsid w:val="00A21C69"/>
    <w:rsid w:val="00A23D8C"/>
    <w:rsid w:val="00A23E20"/>
    <w:rsid w:val="00A23EF6"/>
    <w:rsid w:val="00A2505C"/>
    <w:rsid w:val="00A25891"/>
    <w:rsid w:val="00A25997"/>
    <w:rsid w:val="00A26210"/>
    <w:rsid w:val="00A26BC0"/>
    <w:rsid w:val="00A26EB2"/>
    <w:rsid w:val="00A27089"/>
    <w:rsid w:val="00A2758B"/>
    <w:rsid w:val="00A27C04"/>
    <w:rsid w:val="00A32E34"/>
    <w:rsid w:val="00A33287"/>
    <w:rsid w:val="00A33E7F"/>
    <w:rsid w:val="00A342C9"/>
    <w:rsid w:val="00A345E5"/>
    <w:rsid w:val="00A36053"/>
    <w:rsid w:val="00A3605C"/>
    <w:rsid w:val="00A36331"/>
    <w:rsid w:val="00A364CF"/>
    <w:rsid w:val="00A36979"/>
    <w:rsid w:val="00A37E84"/>
    <w:rsid w:val="00A4091A"/>
    <w:rsid w:val="00A40F61"/>
    <w:rsid w:val="00A410BF"/>
    <w:rsid w:val="00A4166E"/>
    <w:rsid w:val="00A41C86"/>
    <w:rsid w:val="00A41E91"/>
    <w:rsid w:val="00A41EB8"/>
    <w:rsid w:val="00A41F4F"/>
    <w:rsid w:val="00A422E9"/>
    <w:rsid w:val="00A4557B"/>
    <w:rsid w:val="00A4562E"/>
    <w:rsid w:val="00A45982"/>
    <w:rsid w:val="00A45ECD"/>
    <w:rsid w:val="00A509A8"/>
    <w:rsid w:val="00A51415"/>
    <w:rsid w:val="00A52366"/>
    <w:rsid w:val="00A535F5"/>
    <w:rsid w:val="00A53A0A"/>
    <w:rsid w:val="00A54BE5"/>
    <w:rsid w:val="00A553A7"/>
    <w:rsid w:val="00A55560"/>
    <w:rsid w:val="00A55F74"/>
    <w:rsid w:val="00A561CE"/>
    <w:rsid w:val="00A60671"/>
    <w:rsid w:val="00A60E27"/>
    <w:rsid w:val="00A620B9"/>
    <w:rsid w:val="00A633F9"/>
    <w:rsid w:val="00A6352F"/>
    <w:rsid w:val="00A63DA4"/>
    <w:rsid w:val="00A6413F"/>
    <w:rsid w:val="00A65660"/>
    <w:rsid w:val="00A66DDA"/>
    <w:rsid w:val="00A67D1F"/>
    <w:rsid w:val="00A67D38"/>
    <w:rsid w:val="00A67F6E"/>
    <w:rsid w:val="00A700F9"/>
    <w:rsid w:val="00A71DB5"/>
    <w:rsid w:val="00A71F78"/>
    <w:rsid w:val="00A721EB"/>
    <w:rsid w:val="00A727A5"/>
    <w:rsid w:val="00A72DC5"/>
    <w:rsid w:val="00A74014"/>
    <w:rsid w:val="00A745A6"/>
    <w:rsid w:val="00A74718"/>
    <w:rsid w:val="00A75354"/>
    <w:rsid w:val="00A7634A"/>
    <w:rsid w:val="00A7798B"/>
    <w:rsid w:val="00A8028E"/>
    <w:rsid w:val="00A80581"/>
    <w:rsid w:val="00A807EA"/>
    <w:rsid w:val="00A8107A"/>
    <w:rsid w:val="00A81205"/>
    <w:rsid w:val="00A8171B"/>
    <w:rsid w:val="00A81B76"/>
    <w:rsid w:val="00A82EDF"/>
    <w:rsid w:val="00A83084"/>
    <w:rsid w:val="00A8334A"/>
    <w:rsid w:val="00A8432B"/>
    <w:rsid w:val="00A85060"/>
    <w:rsid w:val="00A85B8A"/>
    <w:rsid w:val="00A861CA"/>
    <w:rsid w:val="00A92173"/>
    <w:rsid w:val="00A93684"/>
    <w:rsid w:val="00A94344"/>
    <w:rsid w:val="00A946F0"/>
    <w:rsid w:val="00A95550"/>
    <w:rsid w:val="00A95677"/>
    <w:rsid w:val="00A95B50"/>
    <w:rsid w:val="00A9651E"/>
    <w:rsid w:val="00A973CA"/>
    <w:rsid w:val="00AA2F7A"/>
    <w:rsid w:val="00AA32C5"/>
    <w:rsid w:val="00AA3A05"/>
    <w:rsid w:val="00AA4032"/>
    <w:rsid w:val="00AA4929"/>
    <w:rsid w:val="00AA5374"/>
    <w:rsid w:val="00AA5CF1"/>
    <w:rsid w:val="00AA63A6"/>
    <w:rsid w:val="00AA6ECE"/>
    <w:rsid w:val="00AA7142"/>
    <w:rsid w:val="00AA7699"/>
    <w:rsid w:val="00AB1937"/>
    <w:rsid w:val="00AB23E5"/>
    <w:rsid w:val="00AB2AA7"/>
    <w:rsid w:val="00AB38A9"/>
    <w:rsid w:val="00AB4E7B"/>
    <w:rsid w:val="00AB50DF"/>
    <w:rsid w:val="00AB54BE"/>
    <w:rsid w:val="00AB61A9"/>
    <w:rsid w:val="00AB72B8"/>
    <w:rsid w:val="00AC06BD"/>
    <w:rsid w:val="00AC0CF9"/>
    <w:rsid w:val="00AC1476"/>
    <w:rsid w:val="00AC1E4F"/>
    <w:rsid w:val="00AC257C"/>
    <w:rsid w:val="00AC2637"/>
    <w:rsid w:val="00AC4777"/>
    <w:rsid w:val="00AC5063"/>
    <w:rsid w:val="00AC5310"/>
    <w:rsid w:val="00AC5339"/>
    <w:rsid w:val="00AD1FB9"/>
    <w:rsid w:val="00AD306E"/>
    <w:rsid w:val="00AD4FF9"/>
    <w:rsid w:val="00AD54A9"/>
    <w:rsid w:val="00AD5643"/>
    <w:rsid w:val="00AD5770"/>
    <w:rsid w:val="00AD5C01"/>
    <w:rsid w:val="00AD6417"/>
    <w:rsid w:val="00AD77BA"/>
    <w:rsid w:val="00AE0864"/>
    <w:rsid w:val="00AE1017"/>
    <w:rsid w:val="00AE1080"/>
    <w:rsid w:val="00AE139D"/>
    <w:rsid w:val="00AE141F"/>
    <w:rsid w:val="00AE1CEF"/>
    <w:rsid w:val="00AE1EA4"/>
    <w:rsid w:val="00AE20C6"/>
    <w:rsid w:val="00AE277F"/>
    <w:rsid w:val="00AE3EF0"/>
    <w:rsid w:val="00AE405B"/>
    <w:rsid w:val="00AE48FC"/>
    <w:rsid w:val="00AE4C78"/>
    <w:rsid w:val="00AE5433"/>
    <w:rsid w:val="00AE5A8E"/>
    <w:rsid w:val="00AE5BE9"/>
    <w:rsid w:val="00AE5EEA"/>
    <w:rsid w:val="00AE6A39"/>
    <w:rsid w:val="00AE6BC5"/>
    <w:rsid w:val="00AE710E"/>
    <w:rsid w:val="00AE7C51"/>
    <w:rsid w:val="00AF0A55"/>
    <w:rsid w:val="00AF12A1"/>
    <w:rsid w:val="00AF1D2C"/>
    <w:rsid w:val="00AF3B88"/>
    <w:rsid w:val="00AF54BD"/>
    <w:rsid w:val="00AF5BAA"/>
    <w:rsid w:val="00AF5C0D"/>
    <w:rsid w:val="00AF6006"/>
    <w:rsid w:val="00AF6244"/>
    <w:rsid w:val="00AF67DA"/>
    <w:rsid w:val="00AF7206"/>
    <w:rsid w:val="00AF74D9"/>
    <w:rsid w:val="00AF7E1E"/>
    <w:rsid w:val="00B014F6"/>
    <w:rsid w:val="00B0366E"/>
    <w:rsid w:val="00B047D7"/>
    <w:rsid w:val="00B04B02"/>
    <w:rsid w:val="00B04F8B"/>
    <w:rsid w:val="00B05E28"/>
    <w:rsid w:val="00B060A4"/>
    <w:rsid w:val="00B060AA"/>
    <w:rsid w:val="00B10067"/>
    <w:rsid w:val="00B114A3"/>
    <w:rsid w:val="00B1150F"/>
    <w:rsid w:val="00B12B8F"/>
    <w:rsid w:val="00B139F6"/>
    <w:rsid w:val="00B15659"/>
    <w:rsid w:val="00B17B76"/>
    <w:rsid w:val="00B20F59"/>
    <w:rsid w:val="00B21FA4"/>
    <w:rsid w:val="00B2216E"/>
    <w:rsid w:val="00B22AF2"/>
    <w:rsid w:val="00B2315A"/>
    <w:rsid w:val="00B233CA"/>
    <w:rsid w:val="00B2475D"/>
    <w:rsid w:val="00B25CDA"/>
    <w:rsid w:val="00B26A10"/>
    <w:rsid w:val="00B277BF"/>
    <w:rsid w:val="00B27BFD"/>
    <w:rsid w:val="00B312D0"/>
    <w:rsid w:val="00B33610"/>
    <w:rsid w:val="00B33E61"/>
    <w:rsid w:val="00B348BF"/>
    <w:rsid w:val="00B35D38"/>
    <w:rsid w:val="00B35E01"/>
    <w:rsid w:val="00B40268"/>
    <w:rsid w:val="00B40AAB"/>
    <w:rsid w:val="00B412D5"/>
    <w:rsid w:val="00B4147F"/>
    <w:rsid w:val="00B42C11"/>
    <w:rsid w:val="00B42D7F"/>
    <w:rsid w:val="00B43393"/>
    <w:rsid w:val="00B44190"/>
    <w:rsid w:val="00B44C19"/>
    <w:rsid w:val="00B451D7"/>
    <w:rsid w:val="00B45DEC"/>
    <w:rsid w:val="00B472E9"/>
    <w:rsid w:val="00B5179B"/>
    <w:rsid w:val="00B52146"/>
    <w:rsid w:val="00B5268D"/>
    <w:rsid w:val="00B52C39"/>
    <w:rsid w:val="00B52CCE"/>
    <w:rsid w:val="00B52CE1"/>
    <w:rsid w:val="00B5321F"/>
    <w:rsid w:val="00B53AA1"/>
    <w:rsid w:val="00B54564"/>
    <w:rsid w:val="00B57707"/>
    <w:rsid w:val="00B60119"/>
    <w:rsid w:val="00B609F7"/>
    <w:rsid w:val="00B61FB7"/>
    <w:rsid w:val="00B6278D"/>
    <w:rsid w:val="00B64EE9"/>
    <w:rsid w:val="00B67D6F"/>
    <w:rsid w:val="00B67F31"/>
    <w:rsid w:val="00B701E3"/>
    <w:rsid w:val="00B708B9"/>
    <w:rsid w:val="00B70C68"/>
    <w:rsid w:val="00B70DE7"/>
    <w:rsid w:val="00B70F0F"/>
    <w:rsid w:val="00B7137A"/>
    <w:rsid w:val="00B714C7"/>
    <w:rsid w:val="00B7170D"/>
    <w:rsid w:val="00B7184F"/>
    <w:rsid w:val="00B72972"/>
    <w:rsid w:val="00B72ABB"/>
    <w:rsid w:val="00B72ABE"/>
    <w:rsid w:val="00B73697"/>
    <w:rsid w:val="00B741DC"/>
    <w:rsid w:val="00B742A2"/>
    <w:rsid w:val="00B746A9"/>
    <w:rsid w:val="00B757FF"/>
    <w:rsid w:val="00B76425"/>
    <w:rsid w:val="00B76BF6"/>
    <w:rsid w:val="00B80530"/>
    <w:rsid w:val="00B80D05"/>
    <w:rsid w:val="00B821D8"/>
    <w:rsid w:val="00B82479"/>
    <w:rsid w:val="00B842CA"/>
    <w:rsid w:val="00B846D6"/>
    <w:rsid w:val="00B848E7"/>
    <w:rsid w:val="00B854C0"/>
    <w:rsid w:val="00B861A7"/>
    <w:rsid w:val="00B90ABB"/>
    <w:rsid w:val="00B91442"/>
    <w:rsid w:val="00B92D4C"/>
    <w:rsid w:val="00B93CAC"/>
    <w:rsid w:val="00B96AC3"/>
    <w:rsid w:val="00BA1433"/>
    <w:rsid w:val="00BA1B1E"/>
    <w:rsid w:val="00BA2A50"/>
    <w:rsid w:val="00BA2FF2"/>
    <w:rsid w:val="00BA7020"/>
    <w:rsid w:val="00BB340E"/>
    <w:rsid w:val="00BB5B0C"/>
    <w:rsid w:val="00BB77B1"/>
    <w:rsid w:val="00BC0F18"/>
    <w:rsid w:val="00BC3787"/>
    <w:rsid w:val="00BC38A6"/>
    <w:rsid w:val="00BC4152"/>
    <w:rsid w:val="00BC42A3"/>
    <w:rsid w:val="00BC49DA"/>
    <w:rsid w:val="00BC577C"/>
    <w:rsid w:val="00BC5C74"/>
    <w:rsid w:val="00BD0A2B"/>
    <w:rsid w:val="00BD0A85"/>
    <w:rsid w:val="00BD13FA"/>
    <w:rsid w:val="00BD2DE8"/>
    <w:rsid w:val="00BD33E0"/>
    <w:rsid w:val="00BD3B0C"/>
    <w:rsid w:val="00BD45BB"/>
    <w:rsid w:val="00BD4821"/>
    <w:rsid w:val="00BD5858"/>
    <w:rsid w:val="00BD587D"/>
    <w:rsid w:val="00BD6378"/>
    <w:rsid w:val="00BD6391"/>
    <w:rsid w:val="00BD667D"/>
    <w:rsid w:val="00BD6A10"/>
    <w:rsid w:val="00BD7B00"/>
    <w:rsid w:val="00BE0780"/>
    <w:rsid w:val="00BE08E6"/>
    <w:rsid w:val="00BE0CB2"/>
    <w:rsid w:val="00BE24D3"/>
    <w:rsid w:val="00BE3081"/>
    <w:rsid w:val="00BE3FBB"/>
    <w:rsid w:val="00BE4D13"/>
    <w:rsid w:val="00BE4D29"/>
    <w:rsid w:val="00BE4EC0"/>
    <w:rsid w:val="00BE7252"/>
    <w:rsid w:val="00BE7EB7"/>
    <w:rsid w:val="00BE7F19"/>
    <w:rsid w:val="00BF0837"/>
    <w:rsid w:val="00BF0E7C"/>
    <w:rsid w:val="00BF1933"/>
    <w:rsid w:val="00BF1D75"/>
    <w:rsid w:val="00BF2F6B"/>
    <w:rsid w:val="00BF47B9"/>
    <w:rsid w:val="00BF5BDE"/>
    <w:rsid w:val="00BF6C25"/>
    <w:rsid w:val="00BF74D0"/>
    <w:rsid w:val="00BF7BF7"/>
    <w:rsid w:val="00C0185F"/>
    <w:rsid w:val="00C041F6"/>
    <w:rsid w:val="00C04AE7"/>
    <w:rsid w:val="00C0523E"/>
    <w:rsid w:val="00C05653"/>
    <w:rsid w:val="00C0619F"/>
    <w:rsid w:val="00C06BA9"/>
    <w:rsid w:val="00C07404"/>
    <w:rsid w:val="00C077A6"/>
    <w:rsid w:val="00C10443"/>
    <w:rsid w:val="00C10644"/>
    <w:rsid w:val="00C1064F"/>
    <w:rsid w:val="00C10F22"/>
    <w:rsid w:val="00C11115"/>
    <w:rsid w:val="00C111A0"/>
    <w:rsid w:val="00C11816"/>
    <w:rsid w:val="00C11A3D"/>
    <w:rsid w:val="00C123FB"/>
    <w:rsid w:val="00C1299E"/>
    <w:rsid w:val="00C1299F"/>
    <w:rsid w:val="00C134BA"/>
    <w:rsid w:val="00C14027"/>
    <w:rsid w:val="00C1542A"/>
    <w:rsid w:val="00C15652"/>
    <w:rsid w:val="00C15900"/>
    <w:rsid w:val="00C15C7E"/>
    <w:rsid w:val="00C203B2"/>
    <w:rsid w:val="00C20AB8"/>
    <w:rsid w:val="00C21A86"/>
    <w:rsid w:val="00C22657"/>
    <w:rsid w:val="00C228CA"/>
    <w:rsid w:val="00C22954"/>
    <w:rsid w:val="00C2302A"/>
    <w:rsid w:val="00C23C86"/>
    <w:rsid w:val="00C246FC"/>
    <w:rsid w:val="00C27483"/>
    <w:rsid w:val="00C30DAA"/>
    <w:rsid w:val="00C3117A"/>
    <w:rsid w:val="00C31DBB"/>
    <w:rsid w:val="00C33F69"/>
    <w:rsid w:val="00C34328"/>
    <w:rsid w:val="00C35644"/>
    <w:rsid w:val="00C36805"/>
    <w:rsid w:val="00C36B42"/>
    <w:rsid w:val="00C3785A"/>
    <w:rsid w:val="00C37A03"/>
    <w:rsid w:val="00C40476"/>
    <w:rsid w:val="00C41573"/>
    <w:rsid w:val="00C41D60"/>
    <w:rsid w:val="00C41EF9"/>
    <w:rsid w:val="00C42202"/>
    <w:rsid w:val="00C422C3"/>
    <w:rsid w:val="00C42E50"/>
    <w:rsid w:val="00C44E66"/>
    <w:rsid w:val="00C459C5"/>
    <w:rsid w:val="00C46228"/>
    <w:rsid w:val="00C46D90"/>
    <w:rsid w:val="00C5165D"/>
    <w:rsid w:val="00C51FEB"/>
    <w:rsid w:val="00C5210F"/>
    <w:rsid w:val="00C53A72"/>
    <w:rsid w:val="00C53CDC"/>
    <w:rsid w:val="00C5467E"/>
    <w:rsid w:val="00C5468A"/>
    <w:rsid w:val="00C54825"/>
    <w:rsid w:val="00C55CE6"/>
    <w:rsid w:val="00C55EC6"/>
    <w:rsid w:val="00C57512"/>
    <w:rsid w:val="00C57E13"/>
    <w:rsid w:val="00C62E32"/>
    <w:rsid w:val="00C6418C"/>
    <w:rsid w:val="00C6477D"/>
    <w:rsid w:val="00C654FB"/>
    <w:rsid w:val="00C66518"/>
    <w:rsid w:val="00C6746C"/>
    <w:rsid w:val="00C67D4E"/>
    <w:rsid w:val="00C706B3"/>
    <w:rsid w:val="00C7081E"/>
    <w:rsid w:val="00C70CD6"/>
    <w:rsid w:val="00C70E4A"/>
    <w:rsid w:val="00C72D04"/>
    <w:rsid w:val="00C73B1F"/>
    <w:rsid w:val="00C74051"/>
    <w:rsid w:val="00C7447F"/>
    <w:rsid w:val="00C74567"/>
    <w:rsid w:val="00C74742"/>
    <w:rsid w:val="00C772D6"/>
    <w:rsid w:val="00C77D19"/>
    <w:rsid w:val="00C77EE1"/>
    <w:rsid w:val="00C77F6A"/>
    <w:rsid w:val="00C801DB"/>
    <w:rsid w:val="00C812C5"/>
    <w:rsid w:val="00C8172D"/>
    <w:rsid w:val="00C81AE9"/>
    <w:rsid w:val="00C83DE6"/>
    <w:rsid w:val="00C847E9"/>
    <w:rsid w:val="00C8481D"/>
    <w:rsid w:val="00C855C8"/>
    <w:rsid w:val="00C8565D"/>
    <w:rsid w:val="00C85DB7"/>
    <w:rsid w:val="00C8719D"/>
    <w:rsid w:val="00C90165"/>
    <w:rsid w:val="00C9064A"/>
    <w:rsid w:val="00C91ADE"/>
    <w:rsid w:val="00C91EDE"/>
    <w:rsid w:val="00C91F28"/>
    <w:rsid w:val="00C922A8"/>
    <w:rsid w:val="00C9251D"/>
    <w:rsid w:val="00C94D7B"/>
    <w:rsid w:val="00C96873"/>
    <w:rsid w:val="00C976F8"/>
    <w:rsid w:val="00CA0161"/>
    <w:rsid w:val="00CA0753"/>
    <w:rsid w:val="00CA1407"/>
    <w:rsid w:val="00CA3A8C"/>
    <w:rsid w:val="00CA3BE0"/>
    <w:rsid w:val="00CA4030"/>
    <w:rsid w:val="00CA443E"/>
    <w:rsid w:val="00CA48FA"/>
    <w:rsid w:val="00CA49D6"/>
    <w:rsid w:val="00CA4DD8"/>
    <w:rsid w:val="00CA6A8B"/>
    <w:rsid w:val="00CA6B43"/>
    <w:rsid w:val="00CB0850"/>
    <w:rsid w:val="00CB0D07"/>
    <w:rsid w:val="00CB18CF"/>
    <w:rsid w:val="00CB1B57"/>
    <w:rsid w:val="00CB1C65"/>
    <w:rsid w:val="00CB1FB0"/>
    <w:rsid w:val="00CB2F56"/>
    <w:rsid w:val="00CB303A"/>
    <w:rsid w:val="00CB3412"/>
    <w:rsid w:val="00CB3977"/>
    <w:rsid w:val="00CB3D91"/>
    <w:rsid w:val="00CB4875"/>
    <w:rsid w:val="00CB4C49"/>
    <w:rsid w:val="00CB5FBC"/>
    <w:rsid w:val="00CB6EF7"/>
    <w:rsid w:val="00CB7511"/>
    <w:rsid w:val="00CB7BB0"/>
    <w:rsid w:val="00CB7FEE"/>
    <w:rsid w:val="00CC307D"/>
    <w:rsid w:val="00CC323E"/>
    <w:rsid w:val="00CC336B"/>
    <w:rsid w:val="00CC397A"/>
    <w:rsid w:val="00CC4ACE"/>
    <w:rsid w:val="00CC59D1"/>
    <w:rsid w:val="00CC7D33"/>
    <w:rsid w:val="00CC7F02"/>
    <w:rsid w:val="00CD101A"/>
    <w:rsid w:val="00CD149D"/>
    <w:rsid w:val="00CD1BA8"/>
    <w:rsid w:val="00CD20F9"/>
    <w:rsid w:val="00CD2192"/>
    <w:rsid w:val="00CD3CE5"/>
    <w:rsid w:val="00CD4E05"/>
    <w:rsid w:val="00CD5223"/>
    <w:rsid w:val="00CD5832"/>
    <w:rsid w:val="00CD599A"/>
    <w:rsid w:val="00CD6959"/>
    <w:rsid w:val="00CD7BE8"/>
    <w:rsid w:val="00CE02B7"/>
    <w:rsid w:val="00CE24E4"/>
    <w:rsid w:val="00CE44BA"/>
    <w:rsid w:val="00CE4CFD"/>
    <w:rsid w:val="00CE5AD9"/>
    <w:rsid w:val="00CE7897"/>
    <w:rsid w:val="00CE7AEE"/>
    <w:rsid w:val="00CE7C21"/>
    <w:rsid w:val="00CF0362"/>
    <w:rsid w:val="00CF067C"/>
    <w:rsid w:val="00CF0E7E"/>
    <w:rsid w:val="00CF32F9"/>
    <w:rsid w:val="00CF367C"/>
    <w:rsid w:val="00CF3F6D"/>
    <w:rsid w:val="00CF52AD"/>
    <w:rsid w:val="00CF653F"/>
    <w:rsid w:val="00CF6744"/>
    <w:rsid w:val="00CF77C9"/>
    <w:rsid w:val="00D01761"/>
    <w:rsid w:val="00D01CE4"/>
    <w:rsid w:val="00D02842"/>
    <w:rsid w:val="00D02AA3"/>
    <w:rsid w:val="00D02BC8"/>
    <w:rsid w:val="00D042A2"/>
    <w:rsid w:val="00D05B14"/>
    <w:rsid w:val="00D06370"/>
    <w:rsid w:val="00D06689"/>
    <w:rsid w:val="00D06C5F"/>
    <w:rsid w:val="00D0729E"/>
    <w:rsid w:val="00D110F5"/>
    <w:rsid w:val="00D11A43"/>
    <w:rsid w:val="00D1232A"/>
    <w:rsid w:val="00D123C6"/>
    <w:rsid w:val="00D125BA"/>
    <w:rsid w:val="00D1404C"/>
    <w:rsid w:val="00D15F5F"/>
    <w:rsid w:val="00D16262"/>
    <w:rsid w:val="00D1633F"/>
    <w:rsid w:val="00D164DA"/>
    <w:rsid w:val="00D16C3D"/>
    <w:rsid w:val="00D16D62"/>
    <w:rsid w:val="00D175E3"/>
    <w:rsid w:val="00D17E8A"/>
    <w:rsid w:val="00D2019A"/>
    <w:rsid w:val="00D21143"/>
    <w:rsid w:val="00D215C6"/>
    <w:rsid w:val="00D21A70"/>
    <w:rsid w:val="00D221BE"/>
    <w:rsid w:val="00D22654"/>
    <w:rsid w:val="00D23B4D"/>
    <w:rsid w:val="00D24353"/>
    <w:rsid w:val="00D243CA"/>
    <w:rsid w:val="00D2464D"/>
    <w:rsid w:val="00D24C96"/>
    <w:rsid w:val="00D25045"/>
    <w:rsid w:val="00D25ED6"/>
    <w:rsid w:val="00D26761"/>
    <w:rsid w:val="00D308BB"/>
    <w:rsid w:val="00D315A0"/>
    <w:rsid w:val="00D31969"/>
    <w:rsid w:val="00D323E2"/>
    <w:rsid w:val="00D333FC"/>
    <w:rsid w:val="00D346E7"/>
    <w:rsid w:val="00D349D2"/>
    <w:rsid w:val="00D34CD5"/>
    <w:rsid w:val="00D355BF"/>
    <w:rsid w:val="00D368DD"/>
    <w:rsid w:val="00D40650"/>
    <w:rsid w:val="00D40F48"/>
    <w:rsid w:val="00D41EFD"/>
    <w:rsid w:val="00D42748"/>
    <w:rsid w:val="00D42F14"/>
    <w:rsid w:val="00D44909"/>
    <w:rsid w:val="00D472F2"/>
    <w:rsid w:val="00D47E01"/>
    <w:rsid w:val="00D504F1"/>
    <w:rsid w:val="00D50899"/>
    <w:rsid w:val="00D509BA"/>
    <w:rsid w:val="00D51B4F"/>
    <w:rsid w:val="00D51BE1"/>
    <w:rsid w:val="00D51CE7"/>
    <w:rsid w:val="00D5393F"/>
    <w:rsid w:val="00D53B4E"/>
    <w:rsid w:val="00D53FDF"/>
    <w:rsid w:val="00D5420C"/>
    <w:rsid w:val="00D5573F"/>
    <w:rsid w:val="00D55946"/>
    <w:rsid w:val="00D564F9"/>
    <w:rsid w:val="00D579F7"/>
    <w:rsid w:val="00D610B4"/>
    <w:rsid w:val="00D63563"/>
    <w:rsid w:val="00D63B24"/>
    <w:rsid w:val="00D640DF"/>
    <w:rsid w:val="00D64D3A"/>
    <w:rsid w:val="00D652A0"/>
    <w:rsid w:val="00D65D45"/>
    <w:rsid w:val="00D67136"/>
    <w:rsid w:val="00D6779E"/>
    <w:rsid w:val="00D67C8F"/>
    <w:rsid w:val="00D708C9"/>
    <w:rsid w:val="00D73E6A"/>
    <w:rsid w:val="00D740A1"/>
    <w:rsid w:val="00D74DFF"/>
    <w:rsid w:val="00D753EB"/>
    <w:rsid w:val="00D757B0"/>
    <w:rsid w:val="00D75D72"/>
    <w:rsid w:val="00D766E7"/>
    <w:rsid w:val="00D76EBB"/>
    <w:rsid w:val="00D77937"/>
    <w:rsid w:val="00D801EC"/>
    <w:rsid w:val="00D81613"/>
    <w:rsid w:val="00D82FB3"/>
    <w:rsid w:val="00D84870"/>
    <w:rsid w:val="00D8571A"/>
    <w:rsid w:val="00D8645E"/>
    <w:rsid w:val="00D8743D"/>
    <w:rsid w:val="00D877A4"/>
    <w:rsid w:val="00D877C7"/>
    <w:rsid w:val="00D901C4"/>
    <w:rsid w:val="00D90A5E"/>
    <w:rsid w:val="00D91B01"/>
    <w:rsid w:val="00D91B59"/>
    <w:rsid w:val="00D932A8"/>
    <w:rsid w:val="00D93B9A"/>
    <w:rsid w:val="00D93F8D"/>
    <w:rsid w:val="00D94E20"/>
    <w:rsid w:val="00D95FA7"/>
    <w:rsid w:val="00D96767"/>
    <w:rsid w:val="00D96D09"/>
    <w:rsid w:val="00D96DD9"/>
    <w:rsid w:val="00DA0DF6"/>
    <w:rsid w:val="00DA232E"/>
    <w:rsid w:val="00DA2C54"/>
    <w:rsid w:val="00DA37C1"/>
    <w:rsid w:val="00DA3D0F"/>
    <w:rsid w:val="00DA3E89"/>
    <w:rsid w:val="00DA4FBD"/>
    <w:rsid w:val="00DA5289"/>
    <w:rsid w:val="00DA5972"/>
    <w:rsid w:val="00DA69EA"/>
    <w:rsid w:val="00DA736F"/>
    <w:rsid w:val="00DA75C1"/>
    <w:rsid w:val="00DB18BF"/>
    <w:rsid w:val="00DB1C5E"/>
    <w:rsid w:val="00DB2720"/>
    <w:rsid w:val="00DB343C"/>
    <w:rsid w:val="00DB35A8"/>
    <w:rsid w:val="00DB710A"/>
    <w:rsid w:val="00DC1DC8"/>
    <w:rsid w:val="00DC37BE"/>
    <w:rsid w:val="00DC3805"/>
    <w:rsid w:val="00DC3F32"/>
    <w:rsid w:val="00DC40B6"/>
    <w:rsid w:val="00DC445E"/>
    <w:rsid w:val="00DC45EC"/>
    <w:rsid w:val="00DC5270"/>
    <w:rsid w:val="00DC5D25"/>
    <w:rsid w:val="00DC5D88"/>
    <w:rsid w:val="00DC7245"/>
    <w:rsid w:val="00DD036D"/>
    <w:rsid w:val="00DD3717"/>
    <w:rsid w:val="00DD4FE6"/>
    <w:rsid w:val="00DD50A8"/>
    <w:rsid w:val="00DD5928"/>
    <w:rsid w:val="00DD6D8B"/>
    <w:rsid w:val="00DE01C1"/>
    <w:rsid w:val="00DE207F"/>
    <w:rsid w:val="00DE3160"/>
    <w:rsid w:val="00DE3B17"/>
    <w:rsid w:val="00DE4026"/>
    <w:rsid w:val="00DE5539"/>
    <w:rsid w:val="00DE6C32"/>
    <w:rsid w:val="00DE6E9E"/>
    <w:rsid w:val="00DE6FE9"/>
    <w:rsid w:val="00DF1352"/>
    <w:rsid w:val="00DF164D"/>
    <w:rsid w:val="00DF1A43"/>
    <w:rsid w:val="00DF1C8B"/>
    <w:rsid w:val="00DF1CC5"/>
    <w:rsid w:val="00DF1EC4"/>
    <w:rsid w:val="00DF2019"/>
    <w:rsid w:val="00DF267A"/>
    <w:rsid w:val="00DF2FB0"/>
    <w:rsid w:val="00DF303C"/>
    <w:rsid w:val="00DF305A"/>
    <w:rsid w:val="00DF30A1"/>
    <w:rsid w:val="00DF35AD"/>
    <w:rsid w:val="00DF3732"/>
    <w:rsid w:val="00DF3AE9"/>
    <w:rsid w:val="00DF5286"/>
    <w:rsid w:val="00DF52EE"/>
    <w:rsid w:val="00DF7B4B"/>
    <w:rsid w:val="00E007AD"/>
    <w:rsid w:val="00E013DA"/>
    <w:rsid w:val="00E02EFA"/>
    <w:rsid w:val="00E03723"/>
    <w:rsid w:val="00E0444F"/>
    <w:rsid w:val="00E0569A"/>
    <w:rsid w:val="00E06236"/>
    <w:rsid w:val="00E06C44"/>
    <w:rsid w:val="00E11FC1"/>
    <w:rsid w:val="00E14827"/>
    <w:rsid w:val="00E14934"/>
    <w:rsid w:val="00E15EB2"/>
    <w:rsid w:val="00E164C3"/>
    <w:rsid w:val="00E1735B"/>
    <w:rsid w:val="00E17668"/>
    <w:rsid w:val="00E201A1"/>
    <w:rsid w:val="00E20D5B"/>
    <w:rsid w:val="00E211F8"/>
    <w:rsid w:val="00E2375F"/>
    <w:rsid w:val="00E2468D"/>
    <w:rsid w:val="00E246B4"/>
    <w:rsid w:val="00E255ED"/>
    <w:rsid w:val="00E25627"/>
    <w:rsid w:val="00E26B0A"/>
    <w:rsid w:val="00E26D2E"/>
    <w:rsid w:val="00E27B4E"/>
    <w:rsid w:val="00E302FE"/>
    <w:rsid w:val="00E31BF9"/>
    <w:rsid w:val="00E325F4"/>
    <w:rsid w:val="00E3328E"/>
    <w:rsid w:val="00E339E5"/>
    <w:rsid w:val="00E33FBE"/>
    <w:rsid w:val="00E3419E"/>
    <w:rsid w:val="00E34AB1"/>
    <w:rsid w:val="00E34DE9"/>
    <w:rsid w:val="00E357F3"/>
    <w:rsid w:val="00E36EC4"/>
    <w:rsid w:val="00E370B2"/>
    <w:rsid w:val="00E37500"/>
    <w:rsid w:val="00E439DC"/>
    <w:rsid w:val="00E44E40"/>
    <w:rsid w:val="00E45405"/>
    <w:rsid w:val="00E45A1F"/>
    <w:rsid w:val="00E4641F"/>
    <w:rsid w:val="00E4708B"/>
    <w:rsid w:val="00E508F7"/>
    <w:rsid w:val="00E50A00"/>
    <w:rsid w:val="00E50F0C"/>
    <w:rsid w:val="00E52305"/>
    <w:rsid w:val="00E5250C"/>
    <w:rsid w:val="00E52CD8"/>
    <w:rsid w:val="00E53323"/>
    <w:rsid w:val="00E53776"/>
    <w:rsid w:val="00E53812"/>
    <w:rsid w:val="00E53996"/>
    <w:rsid w:val="00E54A97"/>
    <w:rsid w:val="00E562A2"/>
    <w:rsid w:val="00E56CA3"/>
    <w:rsid w:val="00E60596"/>
    <w:rsid w:val="00E615C3"/>
    <w:rsid w:val="00E6363C"/>
    <w:rsid w:val="00E63BF2"/>
    <w:rsid w:val="00E65072"/>
    <w:rsid w:val="00E65114"/>
    <w:rsid w:val="00E65225"/>
    <w:rsid w:val="00E65258"/>
    <w:rsid w:val="00E6541F"/>
    <w:rsid w:val="00E6589F"/>
    <w:rsid w:val="00E66063"/>
    <w:rsid w:val="00E66086"/>
    <w:rsid w:val="00E7004D"/>
    <w:rsid w:val="00E717A7"/>
    <w:rsid w:val="00E71CF7"/>
    <w:rsid w:val="00E72C28"/>
    <w:rsid w:val="00E735C6"/>
    <w:rsid w:val="00E738DD"/>
    <w:rsid w:val="00E74E15"/>
    <w:rsid w:val="00E77EC2"/>
    <w:rsid w:val="00E80601"/>
    <w:rsid w:val="00E81A1F"/>
    <w:rsid w:val="00E83AAA"/>
    <w:rsid w:val="00E83DEC"/>
    <w:rsid w:val="00E8432B"/>
    <w:rsid w:val="00E86195"/>
    <w:rsid w:val="00E861C7"/>
    <w:rsid w:val="00E862E7"/>
    <w:rsid w:val="00E87C73"/>
    <w:rsid w:val="00E90538"/>
    <w:rsid w:val="00E90EE1"/>
    <w:rsid w:val="00E9317D"/>
    <w:rsid w:val="00E957A1"/>
    <w:rsid w:val="00E964B7"/>
    <w:rsid w:val="00E966D5"/>
    <w:rsid w:val="00E97552"/>
    <w:rsid w:val="00E97E07"/>
    <w:rsid w:val="00EA060B"/>
    <w:rsid w:val="00EA0AA7"/>
    <w:rsid w:val="00EA1C38"/>
    <w:rsid w:val="00EA29E8"/>
    <w:rsid w:val="00EA3BD5"/>
    <w:rsid w:val="00EA4B92"/>
    <w:rsid w:val="00EA54A7"/>
    <w:rsid w:val="00EA5E45"/>
    <w:rsid w:val="00EA742F"/>
    <w:rsid w:val="00EA7822"/>
    <w:rsid w:val="00EA788E"/>
    <w:rsid w:val="00EB10A9"/>
    <w:rsid w:val="00EB129B"/>
    <w:rsid w:val="00EB25BF"/>
    <w:rsid w:val="00EB291F"/>
    <w:rsid w:val="00EB30B4"/>
    <w:rsid w:val="00EB32A5"/>
    <w:rsid w:val="00EB349C"/>
    <w:rsid w:val="00EB46AD"/>
    <w:rsid w:val="00EB54A1"/>
    <w:rsid w:val="00EB6295"/>
    <w:rsid w:val="00EB66AE"/>
    <w:rsid w:val="00EB743B"/>
    <w:rsid w:val="00EC00F2"/>
    <w:rsid w:val="00EC0322"/>
    <w:rsid w:val="00EC13EE"/>
    <w:rsid w:val="00EC1640"/>
    <w:rsid w:val="00EC220E"/>
    <w:rsid w:val="00EC481A"/>
    <w:rsid w:val="00EC4D70"/>
    <w:rsid w:val="00EC4F34"/>
    <w:rsid w:val="00EC571D"/>
    <w:rsid w:val="00EC5DF2"/>
    <w:rsid w:val="00EC6D84"/>
    <w:rsid w:val="00EC7C8A"/>
    <w:rsid w:val="00ED1755"/>
    <w:rsid w:val="00ED2BB7"/>
    <w:rsid w:val="00ED2C5B"/>
    <w:rsid w:val="00ED3078"/>
    <w:rsid w:val="00ED3626"/>
    <w:rsid w:val="00ED42EE"/>
    <w:rsid w:val="00ED6055"/>
    <w:rsid w:val="00ED670F"/>
    <w:rsid w:val="00ED69C0"/>
    <w:rsid w:val="00ED6DBD"/>
    <w:rsid w:val="00ED7127"/>
    <w:rsid w:val="00ED7893"/>
    <w:rsid w:val="00ED7DBF"/>
    <w:rsid w:val="00EE0AB2"/>
    <w:rsid w:val="00EE0B62"/>
    <w:rsid w:val="00EE1061"/>
    <w:rsid w:val="00EE132A"/>
    <w:rsid w:val="00EE1A7C"/>
    <w:rsid w:val="00EE22DC"/>
    <w:rsid w:val="00EE372F"/>
    <w:rsid w:val="00EE3D05"/>
    <w:rsid w:val="00EE4ADF"/>
    <w:rsid w:val="00EE505E"/>
    <w:rsid w:val="00EE5106"/>
    <w:rsid w:val="00EE5878"/>
    <w:rsid w:val="00EE5A81"/>
    <w:rsid w:val="00EE70BF"/>
    <w:rsid w:val="00EE7AEF"/>
    <w:rsid w:val="00EE7C92"/>
    <w:rsid w:val="00EF0331"/>
    <w:rsid w:val="00EF0542"/>
    <w:rsid w:val="00EF0BFB"/>
    <w:rsid w:val="00EF262C"/>
    <w:rsid w:val="00EF298B"/>
    <w:rsid w:val="00EF2CBF"/>
    <w:rsid w:val="00EF3642"/>
    <w:rsid w:val="00EF40EC"/>
    <w:rsid w:val="00EF462B"/>
    <w:rsid w:val="00EF4DDA"/>
    <w:rsid w:val="00EF55C1"/>
    <w:rsid w:val="00EF6170"/>
    <w:rsid w:val="00EF6394"/>
    <w:rsid w:val="00EF6D19"/>
    <w:rsid w:val="00F01205"/>
    <w:rsid w:val="00F014B1"/>
    <w:rsid w:val="00F01B21"/>
    <w:rsid w:val="00F022E3"/>
    <w:rsid w:val="00F03910"/>
    <w:rsid w:val="00F0458E"/>
    <w:rsid w:val="00F0480F"/>
    <w:rsid w:val="00F0599A"/>
    <w:rsid w:val="00F06888"/>
    <w:rsid w:val="00F06D84"/>
    <w:rsid w:val="00F108F9"/>
    <w:rsid w:val="00F11ACA"/>
    <w:rsid w:val="00F122EB"/>
    <w:rsid w:val="00F1265C"/>
    <w:rsid w:val="00F12743"/>
    <w:rsid w:val="00F13122"/>
    <w:rsid w:val="00F13603"/>
    <w:rsid w:val="00F141DC"/>
    <w:rsid w:val="00F14324"/>
    <w:rsid w:val="00F144DA"/>
    <w:rsid w:val="00F14AF2"/>
    <w:rsid w:val="00F1556C"/>
    <w:rsid w:val="00F15843"/>
    <w:rsid w:val="00F15DB6"/>
    <w:rsid w:val="00F203C0"/>
    <w:rsid w:val="00F20851"/>
    <w:rsid w:val="00F20EE3"/>
    <w:rsid w:val="00F22CF7"/>
    <w:rsid w:val="00F23C28"/>
    <w:rsid w:val="00F23DB6"/>
    <w:rsid w:val="00F24002"/>
    <w:rsid w:val="00F240C9"/>
    <w:rsid w:val="00F24EF3"/>
    <w:rsid w:val="00F26466"/>
    <w:rsid w:val="00F26541"/>
    <w:rsid w:val="00F26E0E"/>
    <w:rsid w:val="00F26EE3"/>
    <w:rsid w:val="00F27C3C"/>
    <w:rsid w:val="00F30A02"/>
    <w:rsid w:val="00F31E68"/>
    <w:rsid w:val="00F32E44"/>
    <w:rsid w:val="00F33438"/>
    <w:rsid w:val="00F34D6F"/>
    <w:rsid w:val="00F35B9A"/>
    <w:rsid w:val="00F3610C"/>
    <w:rsid w:val="00F369EB"/>
    <w:rsid w:val="00F3732C"/>
    <w:rsid w:val="00F406AF"/>
    <w:rsid w:val="00F40BC7"/>
    <w:rsid w:val="00F413F1"/>
    <w:rsid w:val="00F418E7"/>
    <w:rsid w:val="00F43B9D"/>
    <w:rsid w:val="00F45B1C"/>
    <w:rsid w:val="00F479EF"/>
    <w:rsid w:val="00F47CD5"/>
    <w:rsid w:val="00F5003A"/>
    <w:rsid w:val="00F508E0"/>
    <w:rsid w:val="00F516AF"/>
    <w:rsid w:val="00F51EFA"/>
    <w:rsid w:val="00F52A00"/>
    <w:rsid w:val="00F52EA9"/>
    <w:rsid w:val="00F53096"/>
    <w:rsid w:val="00F56D1A"/>
    <w:rsid w:val="00F5779D"/>
    <w:rsid w:val="00F57DB2"/>
    <w:rsid w:val="00F607BF"/>
    <w:rsid w:val="00F60CE3"/>
    <w:rsid w:val="00F6100C"/>
    <w:rsid w:val="00F61355"/>
    <w:rsid w:val="00F620A0"/>
    <w:rsid w:val="00F636D4"/>
    <w:rsid w:val="00F63CBE"/>
    <w:rsid w:val="00F64330"/>
    <w:rsid w:val="00F66F0E"/>
    <w:rsid w:val="00F66F1F"/>
    <w:rsid w:val="00F67365"/>
    <w:rsid w:val="00F67CD6"/>
    <w:rsid w:val="00F723CB"/>
    <w:rsid w:val="00F726F2"/>
    <w:rsid w:val="00F72EBC"/>
    <w:rsid w:val="00F7407C"/>
    <w:rsid w:val="00F75450"/>
    <w:rsid w:val="00F76CF7"/>
    <w:rsid w:val="00F76F7F"/>
    <w:rsid w:val="00F77391"/>
    <w:rsid w:val="00F773B7"/>
    <w:rsid w:val="00F80C5B"/>
    <w:rsid w:val="00F81DB6"/>
    <w:rsid w:val="00F83339"/>
    <w:rsid w:val="00F83408"/>
    <w:rsid w:val="00F83D80"/>
    <w:rsid w:val="00F84B7C"/>
    <w:rsid w:val="00F85805"/>
    <w:rsid w:val="00F85EAC"/>
    <w:rsid w:val="00F862FD"/>
    <w:rsid w:val="00F86A13"/>
    <w:rsid w:val="00F87349"/>
    <w:rsid w:val="00F875AD"/>
    <w:rsid w:val="00F8779F"/>
    <w:rsid w:val="00F90D07"/>
    <w:rsid w:val="00F9126F"/>
    <w:rsid w:val="00F91E09"/>
    <w:rsid w:val="00F91FB6"/>
    <w:rsid w:val="00F92C83"/>
    <w:rsid w:val="00F9367B"/>
    <w:rsid w:val="00F9383F"/>
    <w:rsid w:val="00F943AC"/>
    <w:rsid w:val="00FA35E5"/>
    <w:rsid w:val="00FA5593"/>
    <w:rsid w:val="00FA57D5"/>
    <w:rsid w:val="00FA6920"/>
    <w:rsid w:val="00FA717B"/>
    <w:rsid w:val="00FB0CC1"/>
    <w:rsid w:val="00FB11EB"/>
    <w:rsid w:val="00FB4FAB"/>
    <w:rsid w:val="00FB54AE"/>
    <w:rsid w:val="00FB585D"/>
    <w:rsid w:val="00FB5A9A"/>
    <w:rsid w:val="00FB65D7"/>
    <w:rsid w:val="00FB67DC"/>
    <w:rsid w:val="00FB7175"/>
    <w:rsid w:val="00FB76E7"/>
    <w:rsid w:val="00FB7E8C"/>
    <w:rsid w:val="00FC0F6A"/>
    <w:rsid w:val="00FC1409"/>
    <w:rsid w:val="00FC26B4"/>
    <w:rsid w:val="00FC3014"/>
    <w:rsid w:val="00FC48FE"/>
    <w:rsid w:val="00FC64E4"/>
    <w:rsid w:val="00FC6E7B"/>
    <w:rsid w:val="00FC7796"/>
    <w:rsid w:val="00FD0214"/>
    <w:rsid w:val="00FD03AA"/>
    <w:rsid w:val="00FD124A"/>
    <w:rsid w:val="00FD17E5"/>
    <w:rsid w:val="00FD213D"/>
    <w:rsid w:val="00FD244D"/>
    <w:rsid w:val="00FD2CDD"/>
    <w:rsid w:val="00FD62EA"/>
    <w:rsid w:val="00FD7D92"/>
    <w:rsid w:val="00FE0F1E"/>
    <w:rsid w:val="00FE2307"/>
    <w:rsid w:val="00FE2EFA"/>
    <w:rsid w:val="00FE4962"/>
    <w:rsid w:val="00FE6201"/>
    <w:rsid w:val="00FE6737"/>
    <w:rsid w:val="00FE6C76"/>
    <w:rsid w:val="00FE75E0"/>
    <w:rsid w:val="00FF118C"/>
    <w:rsid w:val="00FF19A3"/>
    <w:rsid w:val="00FF1F72"/>
    <w:rsid w:val="00FF234F"/>
    <w:rsid w:val="00FF3347"/>
    <w:rsid w:val="00FF3501"/>
    <w:rsid w:val="00FF3ACD"/>
    <w:rsid w:val="00FF5BEA"/>
    <w:rsid w:val="00FF7039"/>
    <w:rsid w:val="00FF7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30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37C8"/>
    <w:pPr>
      <w:autoSpaceDE w:val="0"/>
      <w:autoSpaceDN w:val="0"/>
    </w:pPr>
  </w:style>
  <w:style w:type="paragraph" w:styleId="1">
    <w:name w:val="heading 1"/>
    <w:basedOn w:val="a1"/>
    <w:next w:val="a1"/>
    <w:link w:val="10"/>
    <w:uiPriority w:val="9"/>
    <w:qFormat/>
    <w:rsid w:val="00AC5310"/>
    <w:pPr>
      <w:keepNext/>
      <w:jc w:val="center"/>
      <w:outlineLvl w:val="0"/>
    </w:pPr>
    <w:rPr>
      <w:rFonts w:ascii="Arial" w:hAnsi="Arial" w:cs="Arial"/>
      <w:b/>
      <w:bCs/>
      <w:sz w:val="28"/>
      <w:szCs w:val="28"/>
    </w:rPr>
  </w:style>
  <w:style w:type="paragraph" w:styleId="20">
    <w:name w:val="heading 2"/>
    <w:basedOn w:val="a1"/>
    <w:next w:val="a1"/>
    <w:link w:val="21"/>
    <w:autoRedefine/>
    <w:uiPriority w:val="9"/>
    <w:qFormat/>
    <w:rsid w:val="00E60596"/>
    <w:pPr>
      <w:autoSpaceDE/>
      <w:autoSpaceDN/>
      <w:ind w:firstLine="720"/>
      <w:jc w:val="both"/>
      <w:outlineLvl w:val="1"/>
    </w:pPr>
    <w:rPr>
      <w:rFonts w:eastAsia="Arial Unicode MS"/>
      <w:sz w:val="22"/>
      <w:szCs w:val="24"/>
    </w:rPr>
  </w:style>
  <w:style w:type="paragraph" w:styleId="30">
    <w:name w:val="heading 3"/>
    <w:basedOn w:val="a1"/>
    <w:next w:val="a1"/>
    <w:link w:val="31"/>
    <w:uiPriority w:val="9"/>
    <w:qFormat/>
    <w:rsid w:val="005676AF"/>
    <w:pPr>
      <w:keepNext/>
      <w:autoSpaceDE/>
      <w:autoSpaceDN/>
      <w:spacing w:before="240" w:after="60"/>
      <w:outlineLvl w:val="2"/>
    </w:pPr>
    <w:rPr>
      <w:rFonts w:ascii="Arial" w:hAnsi="Arial" w:cs="Arial"/>
      <w:b/>
      <w:bCs/>
      <w:sz w:val="26"/>
      <w:szCs w:val="26"/>
    </w:rPr>
  </w:style>
  <w:style w:type="paragraph" w:styleId="4">
    <w:name w:val="heading 4"/>
    <w:basedOn w:val="a1"/>
    <w:next w:val="a1"/>
    <w:link w:val="40"/>
    <w:uiPriority w:val="99"/>
    <w:qFormat/>
    <w:rsid w:val="005676AF"/>
    <w:pPr>
      <w:keepNext/>
      <w:autoSpaceDE/>
      <w:autoSpaceDN/>
      <w:spacing w:before="240" w:after="60"/>
      <w:outlineLvl w:val="3"/>
    </w:pPr>
    <w:rPr>
      <w:b/>
      <w:bCs/>
      <w:sz w:val="28"/>
      <w:szCs w:val="28"/>
    </w:rPr>
  </w:style>
  <w:style w:type="paragraph" w:styleId="5">
    <w:name w:val="heading 5"/>
    <w:basedOn w:val="a1"/>
    <w:next w:val="a1"/>
    <w:link w:val="50"/>
    <w:uiPriority w:val="9"/>
    <w:qFormat/>
    <w:rsid w:val="00E60596"/>
    <w:pPr>
      <w:tabs>
        <w:tab w:val="num" w:pos="1008"/>
      </w:tabs>
      <w:autoSpaceDE/>
      <w:autoSpaceDN/>
      <w:spacing w:before="240"/>
      <w:ind w:left="1008" w:hanging="1008"/>
      <w:outlineLvl w:val="4"/>
    </w:pPr>
    <w:rPr>
      <w:sz w:val="24"/>
      <w:szCs w:val="24"/>
    </w:rPr>
  </w:style>
  <w:style w:type="paragraph" w:styleId="6">
    <w:name w:val="heading 6"/>
    <w:basedOn w:val="a1"/>
    <w:next w:val="a1"/>
    <w:link w:val="60"/>
    <w:uiPriority w:val="9"/>
    <w:qFormat/>
    <w:rsid w:val="00E60596"/>
    <w:pPr>
      <w:tabs>
        <w:tab w:val="num" w:pos="1152"/>
      </w:tabs>
      <w:autoSpaceDE/>
      <w:autoSpaceDN/>
      <w:spacing w:before="240"/>
      <w:ind w:left="1152" w:hanging="1152"/>
      <w:outlineLvl w:val="5"/>
    </w:pPr>
    <w:rPr>
      <w:i/>
      <w:sz w:val="24"/>
      <w:szCs w:val="24"/>
    </w:rPr>
  </w:style>
  <w:style w:type="paragraph" w:styleId="7">
    <w:name w:val="heading 7"/>
    <w:basedOn w:val="a1"/>
    <w:next w:val="a1"/>
    <w:link w:val="70"/>
    <w:uiPriority w:val="9"/>
    <w:qFormat/>
    <w:rsid w:val="00E60596"/>
    <w:pPr>
      <w:tabs>
        <w:tab w:val="num" w:pos="1296"/>
      </w:tabs>
      <w:autoSpaceDE/>
      <w:autoSpaceDN/>
      <w:spacing w:before="240"/>
      <w:ind w:left="1296" w:hanging="1296"/>
      <w:outlineLvl w:val="6"/>
    </w:pPr>
    <w:rPr>
      <w:rFonts w:ascii="Arial" w:hAnsi="Arial"/>
      <w:szCs w:val="24"/>
    </w:rPr>
  </w:style>
  <w:style w:type="paragraph" w:styleId="8">
    <w:name w:val="heading 8"/>
    <w:basedOn w:val="a1"/>
    <w:next w:val="a1"/>
    <w:link w:val="80"/>
    <w:uiPriority w:val="9"/>
    <w:qFormat/>
    <w:rsid w:val="00E60596"/>
    <w:pPr>
      <w:tabs>
        <w:tab w:val="num" w:pos="1440"/>
      </w:tabs>
      <w:autoSpaceDE/>
      <w:autoSpaceDN/>
      <w:spacing w:before="240"/>
      <w:ind w:left="1440" w:hanging="1440"/>
      <w:outlineLvl w:val="7"/>
    </w:pPr>
    <w:rPr>
      <w:rFonts w:ascii="Arial" w:hAnsi="Arial"/>
      <w:i/>
      <w:szCs w:val="24"/>
    </w:rPr>
  </w:style>
  <w:style w:type="paragraph" w:styleId="9">
    <w:name w:val="heading 9"/>
    <w:basedOn w:val="a1"/>
    <w:next w:val="a1"/>
    <w:link w:val="90"/>
    <w:uiPriority w:val="9"/>
    <w:qFormat/>
    <w:rsid w:val="00E60596"/>
    <w:pPr>
      <w:tabs>
        <w:tab w:val="num" w:pos="1584"/>
      </w:tabs>
      <w:autoSpaceDE/>
      <w:autoSpaceDN/>
      <w:spacing w:before="240"/>
      <w:ind w:left="1584" w:hanging="1584"/>
      <w:outlineLvl w:val="8"/>
    </w:pPr>
    <w:rPr>
      <w:rFonts w:ascii="Arial" w:hAnsi="Arial"/>
      <w:b/>
      <w:i/>
      <w:sz w:val="1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AC5310"/>
    <w:rPr>
      <w:rFonts w:ascii="Cambria" w:hAnsi="Cambria" w:cs="Times New Roman"/>
      <w:b/>
      <w:bCs/>
      <w:kern w:val="32"/>
      <w:sz w:val="32"/>
      <w:szCs w:val="32"/>
    </w:rPr>
  </w:style>
  <w:style w:type="character" w:customStyle="1" w:styleId="21">
    <w:name w:val="Заголовок 2 Знак"/>
    <w:basedOn w:val="a2"/>
    <w:link w:val="20"/>
    <w:uiPriority w:val="9"/>
    <w:locked/>
    <w:rsid w:val="00E60596"/>
    <w:rPr>
      <w:rFonts w:eastAsia="Arial Unicode MS" w:cs="Times New Roman"/>
      <w:snapToGrid w:val="0"/>
      <w:sz w:val="24"/>
      <w:szCs w:val="24"/>
    </w:rPr>
  </w:style>
  <w:style w:type="character" w:customStyle="1" w:styleId="31">
    <w:name w:val="Заголовок 3 Знак"/>
    <w:basedOn w:val="a2"/>
    <w:link w:val="30"/>
    <w:uiPriority w:val="9"/>
    <w:semiHidden/>
    <w:locked/>
    <w:rsid w:val="00AC5310"/>
    <w:rPr>
      <w:rFonts w:ascii="Cambria" w:hAnsi="Cambria" w:cs="Times New Roman"/>
      <w:b/>
      <w:bCs/>
      <w:sz w:val="26"/>
      <w:szCs w:val="26"/>
    </w:rPr>
  </w:style>
  <w:style w:type="character" w:customStyle="1" w:styleId="40">
    <w:name w:val="Заголовок 4 Знак"/>
    <w:basedOn w:val="a2"/>
    <w:link w:val="4"/>
    <w:uiPriority w:val="99"/>
    <w:locked/>
    <w:rsid w:val="00AC5310"/>
    <w:rPr>
      <w:rFonts w:ascii="Calibri" w:hAnsi="Calibri" w:cs="Times New Roman"/>
      <w:b/>
      <w:bCs/>
      <w:sz w:val="28"/>
      <w:szCs w:val="28"/>
    </w:rPr>
  </w:style>
  <w:style w:type="character" w:customStyle="1" w:styleId="50">
    <w:name w:val="Заголовок 5 Знак"/>
    <w:basedOn w:val="a2"/>
    <w:link w:val="5"/>
    <w:uiPriority w:val="9"/>
    <w:locked/>
    <w:rsid w:val="00E60596"/>
    <w:rPr>
      <w:rFonts w:cs="Times New Roman"/>
      <w:sz w:val="24"/>
      <w:szCs w:val="24"/>
    </w:rPr>
  </w:style>
  <w:style w:type="character" w:customStyle="1" w:styleId="60">
    <w:name w:val="Заголовок 6 Знак"/>
    <w:basedOn w:val="a2"/>
    <w:link w:val="6"/>
    <w:uiPriority w:val="9"/>
    <w:locked/>
    <w:rsid w:val="00E60596"/>
    <w:rPr>
      <w:rFonts w:cs="Times New Roman"/>
      <w:i/>
      <w:sz w:val="24"/>
      <w:szCs w:val="24"/>
    </w:rPr>
  </w:style>
  <w:style w:type="character" w:customStyle="1" w:styleId="70">
    <w:name w:val="Заголовок 7 Знак"/>
    <w:basedOn w:val="a2"/>
    <w:link w:val="7"/>
    <w:uiPriority w:val="9"/>
    <w:locked/>
    <w:rsid w:val="00E60596"/>
    <w:rPr>
      <w:rFonts w:ascii="Arial" w:hAnsi="Arial" w:cs="Times New Roman"/>
      <w:sz w:val="24"/>
      <w:szCs w:val="24"/>
    </w:rPr>
  </w:style>
  <w:style w:type="character" w:customStyle="1" w:styleId="80">
    <w:name w:val="Заголовок 8 Знак"/>
    <w:basedOn w:val="a2"/>
    <w:link w:val="8"/>
    <w:uiPriority w:val="9"/>
    <w:locked/>
    <w:rsid w:val="00E60596"/>
    <w:rPr>
      <w:rFonts w:ascii="Arial" w:hAnsi="Arial" w:cs="Times New Roman"/>
      <w:i/>
      <w:sz w:val="24"/>
      <w:szCs w:val="24"/>
    </w:rPr>
  </w:style>
  <w:style w:type="character" w:customStyle="1" w:styleId="90">
    <w:name w:val="Заголовок 9 Знак"/>
    <w:basedOn w:val="a2"/>
    <w:link w:val="9"/>
    <w:uiPriority w:val="9"/>
    <w:locked/>
    <w:rsid w:val="00E60596"/>
    <w:rPr>
      <w:rFonts w:ascii="Arial" w:hAnsi="Arial" w:cs="Times New Roman"/>
      <w:b/>
      <w:i/>
      <w:sz w:val="24"/>
      <w:szCs w:val="24"/>
    </w:rPr>
  </w:style>
  <w:style w:type="paragraph" w:customStyle="1" w:styleId="a5">
    <w:name w:val="Знак"/>
    <w:basedOn w:val="a1"/>
    <w:uiPriority w:val="99"/>
    <w:rsid w:val="009B361D"/>
    <w:pPr>
      <w:autoSpaceDE/>
      <w:autoSpaceDN/>
      <w:spacing w:after="160" w:line="240" w:lineRule="exact"/>
    </w:pPr>
    <w:rPr>
      <w:rFonts w:ascii="Verdana" w:hAnsi="Verdana" w:cs="Verdana"/>
      <w:lang w:val="en-US" w:eastAsia="en-US"/>
    </w:rPr>
  </w:style>
  <w:style w:type="paragraph" w:styleId="a6">
    <w:name w:val="header"/>
    <w:basedOn w:val="a1"/>
    <w:link w:val="a7"/>
    <w:uiPriority w:val="99"/>
    <w:rsid w:val="00AC5310"/>
    <w:pPr>
      <w:tabs>
        <w:tab w:val="center" w:pos="4153"/>
        <w:tab w:val="right" w:pos="8306"/>
      </w:tabs>
    </w:pPr>
  </w:style>
  <w:style w:type="character" w:customStyle="1" w:styleId="a7">
    <w:name w:val="Верхний колонтитул Знак"/>
    <w:basedOn w:val="a2"/>
    <w:link w:val="a6"/>
    <w:uiPriority w:val="99"/>
    <w:locked/>
    <w:rsid w:val="00AC5310"/>
    <w:rPr>
      <w:rFonts w:cs="Times New Roman"/>
      <w:sz w:val="20"/>
      <w:szCs w:val="20"/>
    </w:rPr>
  </w:style>
  <w:style w:type="paragraph" w:styleId="a8">
    <w:name w:val="footer"/>
    <w:basedOn w:val="a1"/>
    <w:link w:val="a9"/>
    <w:uiPriority w:val="99"/>
    <w:rsid w:val="00AC5310"/>
    <w:pPr>
      <w:tabs>
        <w:tab w:val="center" w:pos="4153"/>
        <w:tab w:val="right" w:pos="8306"/>
      </w:tabs>
    </w:pPr>
  </w:style>
  <w:style w:type="character" w:customStyle="1" w:styleId="a9">
    <w:name w:val="Нижний колонтитул Знак"/>
    <w:basedOn w:val="a2"/>
    <w:link w:val="a8"/>
    <w:uiPriority w:val="99"/>
    <w:locked/>
    <w:rsid w:val="00AC5310"/>
    <w:rPr>
      <w:rFonts w:cs="Times New Roman"/>
      <w:sz w:val="20"/>
      <w:szCs w:val="20"/>
    </w:rPr>
  </w:style>
  <w:style w:type="character" w:styleId="aa">
    <w:name w:val="page number"/>
    <w:basedOn w:val="a2"/>
    <w:uiPriority w:val="99"/>
    <w:rsid w:val="00AC5310"/>
    <w:rPr>
      <w:rFonts w:cs="Times New Roman"/>
    </w:rPr>
  </w:style>
  <w:style w:type="paragraph" w:customStyle="1" w:styleId="ConsNormal">
    <w:name w:val="ConsNormal"/>
    <w:rsid w:val="00AC5310"/>
    <w:pPr>
      <w:autoSpaceDE w:val="0"/>
      <w:autoSpaceDN w:val="0"/>
      <w:adjustRightInd w:val="0"/>
      <w:ind w:firstLine="720"/>
    </w:pPr>
    <w:rPr>
      <w:rFonts w:ascii="Arial" w:hAnsi="Arial" w:cs="Arial"/>
    </w:rPr>
  </w:style>
  <w:style w:type="character" w:styleId="ab">
    <w:name w:val="annotation reference"/>
    <w:basedOn w:val="a2"/>
    <w:uiPriority w:val="99"/>
    <w:rsid w:val="00AC5310"/>
    <w:rPr>
      <w:rFonts w:cs="Times New Roman"/>
      <w:sz w:val="16"/>
      <w:szCs w:val="16"/>
    </w:rPr>
  </w:style>
  <w:style w:type="paragraph" w:styleId="ac">
    <w:name w:val="annotation text"/>
    <w:basedOn w:val="a1"/>
    <w:link w:val="ad"/>
    <w:uiPriority w:val="99"/>
    <w:rsid w:val="00AC5310"/>
  </w:style>
  <w:style w:type="character" w:customStyle="1" w:styleId="ad">
    <w:name w:val="Текст примечания Знак"/>
    <w:basedOn w:val="a2"/>
    <w:link w:val="ac"/>
    <w:uiPriority w:val="99"/>
    <w:locked/>
    <w:rsid w:val="00AC5310"/>
    <w:rPr>
      <w:rFonts w:cs="Times New Roman"/>
      <w:sz w:val="20"/>
      <w:szCs w:val="20"/>
    </w:rPr>
  </w:style>
  <w:style w:type="paragraph" w:styleId="ae">
    <w:name w:val="annotation subject"/>
    <w:basedOn w:val="ac"/>
    <w:next w:val="ac"/>
    <w:link w:val="af"/>
    <w:uiPriority w:val="99"/>
    <w:rsid w:val="00AC5310"/>
    <w:rPr>
      <w:b/>
      <w:bCs/>
    </w:rPr>
  </w:style>
  <w:style w:type="character" w:customStyle="1" w:styleId="af">
    <w:name w:val="Тема примечания Знак"/>
    <w:basedOn w:val="ad"/>
    <w:link w:val="ae"/>
    <w:uiPriority w:val="99"/>
    <w:locked/>
    <w:rsid w:val="00AC5310"/>
    <w:rPr>
      <w:b/>
      <w:bCs/>
    </w:rPr>
  </w:style>
  <w:style w:type="paragraph" w:styleId="af0">
    <w:name w:val="Balloon Text"/>
    <w:basedOn w:val="a1"/>
    <w:link w:val="af1"/>
    <w:uiPriority w:val="99"/>
    <w:rsid w:val="00AC5310"/>
    <w:rPr>
      <w:rFonts w:ascii="Tahoma" w:hAnsi="Tahoma" w:cs="Tahoma"/>
      <w:sz w:val="16"/>
      <w:szCs w:val="16"/>
    </w:rPr>
  </w:style>
  <w:style w:type="character" w:customStyle="1" w:styleId="af1">
    <w:name w:val="Текст выноски Знак"/>
    <w:basedOn w:val="a2"/>
    <w:link w:val="af0"/>
    <w:uiPriority w:val="99"/>
    <w:locked/>
    <w:rsid w:val="00AC5310"/>
    <w:rPr>
      <w:rFonts w:ascii="Tahoma" w:hAnsi="Tahoma" w:cs="Tahoma"/>
      <w:sz w:val="16"/>
      <w:szCs w:val="16"/>
    </w:rPr>
  </w:style>
  <w:style w:type="paragraph" w:customStyle="1" w:styleId="ConsNonformat">
    <w:name w:val="ConsNonformat"/>
    <w:uiPriority w:val="99"/>
    <w:rsid w:val="00AC5310"/>
    <w:pPr>
      <w:widowControl w:val="0"/>
    </w:pPr>
    <w:rPr>
      <w:rFonts w:ascii="Courier New" w:hAnsi="Courier New" w:cs="Courier New"/>
    </w:rPr>
  </w:style>
  <w:style w:type="paragraph" w:customStyle="1" w:styleId="BodyNum">
    <w:name w:val="Body Num"/>
    <w:basedOn w:val="a1"/>
    <w:uiPriority w:val="99"/>
    <w:rsid w:val="00AC5310"/>
    <w:pPr>
      <w:autoSpaceDE/>
      <w:autoSpaceDN/>
      <w:spacing w:after="120"/>
      <w:jc w:val="both"/>
    </w:pPr>
    <w:rPr>
      <w:sz w:val="24"/>
      <w:szCs w:val="24"/>
      <w:lang w:eastAsia="en-US"/>
    </w:rPr>
  </w:style>
  <w:style w:type="paragraph" w:styleId="af2">
    <w:name w:val="Body Text"/>
    <w:basedOn w:val="a1"/>
    <w:link w:val="af3"/>
    <w:uiPriority w:val="99"/>
    <w:rsid w:val="00AC5310"/>
    <w:pPr>
      <w:widowControl w:val="0"/>
      <w:suppressAutoHyphens/>
      <w:autoSpaceDE/>
      <w:autoSpaceDN/>
      <w:spacing w:after="120"/>
    </w:pPr>
    <w:rPr>
      <w:sz w:val="24"/>
      <w:szCs w:val="24"/>
    </w:rPr>
  </w:style>
  <w:style w:type="character" w:customStyle="1" w:styleId="af3">
    <w:name w:val="Основной текст Знак"/>
    <w:basedOn w:val="a2"/>
    <w:link w:val="af2"/>
    <w:uiPriority w:val="99"/>
    <w:locked/>
    <w:rsid w:val="00AC5310"/>
    <w:rPr>
      <w:rFonts w:cs="Times New Roman"/>
      <w:sz w:val="20"/>
      <w:szCs w:val="20"/>
    </w:rPr>
  </w:style>
  <w:style w:type="paragraph" w:styleId="af4">
    <w:name w:val="Body Text Indent"/>
    <w:basedOn w:val="a1"/>
    <w:link w:val="af5"/>
    <w:uiPriority w:val="99"/>
    <w:rsid w:val="00AC5310"/>
    <w:pPr>
      <w:tabs>
        <w:tab w:val="left" w:pos="9554"/>
      </w:tabs>
      <w:ind w:firstLine="426"/>
      <w:jc w:val="both"/>
    </w:pPr>
    <w:rPr>
      <w:sz w:val="24"/>
      <w:szCs w:val="24"/>
    </w:rPr>
  </w:style>
  <w:style w:type="character" w:customStyle="1" w:styleId="af5">
    <w:name w:val="Основной текст с отступом Знак"/>
    <w:basedOn w:val="a2"/>
    <w:link w:val="af4"/>
    <w:uiPriority w:val="99"/>
    <w:semiHidden/>
    <w:locked/>
    <w:rsid w:val="00AC5310"/>
    <w:rPr>
      <w:rFonts w:cs="Times New Roman"/>
      <w:sz w:val="20"/>
      <w:szCs w:val="20"/>
    </w:rPr>
  </w:style>
  <w:style w:type="paragraph" w:styleId="22">
    <w:name w:val="Body Text Indent 2"/>
    <w:basedOn w:val="a1"/>
    <w:link w:val="23"/>
    <w:uiPriority w:val="99"/>
    <w:rsid w:val="00AC5310"/>
    <w:pPr>
      <w:adjustRightInd w:val="0"/>
      <w:ind w:firstLine="539"/>
      <w:jc w:val="both"/>
    </w:pPr>
    <w:rPr>
      <w:sz w:val="24"/>
      <w:szCs w:val="24"/>
    </w:rPr>
  </w:style>
  <w:style w:type="character" w:customStyle="1" w:styleId="23">
    <w:name w:val="Основной текст с отступом 2 Знак"/>
    <w:basedOn w:val="a2"/>
    <w:link w:val="22"/>
    <w:uiPriority w:val="99"/>
    <w:locked/>
    <w:rsid w:val="00AC5310"/>
    <w:rPr>
      <w:rFonts w:cs="Times New Roman"/>
      <w:sz w:val="20"/>
      <w:szCs w:val="20"/>
    </w:rPr>
  </w:style>
  <w:style w:type="paragraph" w:styleId="32">
    <w:name w:val="Body Text Indent 3"/>
    <w:basedOn w:val="a1"/>
    <w:link w:val="33"/>
    <w:uiPriority w:val="99"/>
    <w:rsid w:val="00AC5310"/>
    <w:pPr>
      <w:adjustRightInd w:val="0"/>
      <w:ind w:firstLine="540"/>
      <w:jc w:val="both"/>
    </w:pPr>
    <w:rPr>
      <w:sz w:val="24"/>
      <w:szCs w:val="24"/>
    </w:rPr>
  </w:style>
  <w:style w:type="character" w:customStyle="1" w:styleId="33">
    <w:name w:val="Основной текст с отступом 3 Знак"/>
    <w:basedOn w:val="a2"/>
    <w:link w:val="32"/>
    <w:uiPriority w:val="99"/>
    <w:semiHidden/>
    <w:locked/>
    <w:rsid w:val="00AC5310"/>
    <w:rPr>
      <w:rFonts w:cs="Times New Roman"/>
      <w:sz w:val="16"/>
      <w:szCs w:val="16"/>
    </w:rPr>
  </w:style>
  <w:style w:type="paragraph" w:styleId="af6">
    <w:name w:val="footnote text"/>
    <w:basedOn w:val="a1"/>
    <w:link w:val="af7"/>
    <w:uiPriority w:val="99"/>
    <w:rsid w:val="00AC5310"/>
  </w:style>
  <w:style w:type="character" w:customStyle="1" w:styleId="af7">
    <w:name w:val="Текст сноски Знак"/>
    <w:basedOn w:val="a2"/>
    <w:link w:val="af6"/>
    <w:uiPriority w:val="99"/>
    <w:locked/>
    <w:rsid w:val="00AC5310"/>
    <w:rPr>
      <w:rFonts w:cs="Times New Roman"/>
      <w:sz w:val="20"/>
      <w:szCs w:val="20"/>
    </w:rPr>
  </w:style>
  <w:style w:type="character" w:styleId="af8">
    <w:name w:val="footnote reference"/>
    <w:basedOn w:val="a2"/>
    <w:uiPriority w:val="99"/>
    <w:rsid w:val="00AC5310"/>
    <w:rPr>
      <w:rFonts w:cs="Times New Roman"/>
      <w:vertAlign w:val="superscript"/>
    </w:rPr>
  </w:style>
  <w:style w:type="paragraph" w:styleId="HTML">
    <w:name w:val="HTML Preformatted"/>
    <w:basedOn w:val="a1"/>
    <w:link w:val="HTML0"/>
    <w:uiPriority w:val="99"/>
    <w:rsid w:val="00AC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rPr>
  </w:style>
  <w:style w:type="character" w:customStyle="1" w:styleId="HTML0">
    <w:name w:val="Стандартный HTML Знак"/>
    <w:basedOn w:val="a2"/>
    <w:link w:val="HTML"/>
    <w:uiPriority w:val="99"/>
    <w:semiHidden/>
    <w:locked/>
    <w:rsid w:val="00AC5310"/>
    <w:rPr>
      <w:rFonts w:ascii="Courier New" w:hAnsi="Courier New" w:cs="Courier New"/>
      <w:sz w:val="20"/>
      <w:szCs w:val="20"/>
    </w:rPr>
  </w:style>
  <w:style w:type="paragraph" w:customStyle="1" w:styleId="ConsPlusNormal">
    <w:name w:val="ConsPlusNormal"/>
    <w:rsid w:val="00452E35"/>
    <w:pPr>
      <w:autoSpaceDE w:val="0"/>
      <w:autoSpaceDN w:val="0"/>
      <w:adjustRightInd w:val="0"/>
      <w:ind w:firstLine="720"/>
    </w:pPr>
    <w:rPr>
      <w:rFonts w:ascii="Arial" w:hAnsi="Arial" w:cs="Arial"/>
    </w:rPr>
  </w:style>
  <w:style w:type="paragraph" w:styleId="11">
    <w:name w:val="toc 1"/>
    <w:basedOn w:val="a1"/>
    <w:next w:val="a1"/>
    <w:autoRedefine/>
    <w:uiPriority w:val="39"/>
    <w:qFormat/>
    <w:rsid w:val="003B0FCA"/>
    <w:pPr>
      <w:autoSpaceDE/>
      <w:autoSpaceDN/>
    </w:pPr>
    <w:rPr>
      <w:sz w:val="24"/>
      <w:szCs w:val="24"/>
    </w:rPr>
  </w:style>
  <w:style w:type="paragraph" w:customStyle="1" w:styleId="ConsTitle">
    <w:name w:val="ConsTitle"/>
    <w:rsid w:val="003B0FCA"/>
    <w:pPr>
      <w:widowControl w:val="0"/>
    </w:pPr>
    <w:rPr>
      <w:rFonts w:ascii="Arial" w:hAnsi="Arial" w:cs="Arial"/>
      <w:b/>
      <w:bCs/>
      <w:sz w:val="16"/>
      <w:szCs w:val="16"/>
    </w:rPr>
  </w:style>
  <w:style w:type="paragraph" w:customStyle="1" w:styleId="12">
    <w:name w:val="Стиль1"/>
    <w:basedOn w:val="ConsNonformat"/>
    <w:uiPriority w:val="99"/>
    <w:rsid w:val="003B0FCA"/>
    <w:pPr>
      <w:widowControl/>
    </w:pPr>
    <w:rPr>
      <w:rFonts w:ascii="Times New Roman" w:hAnsi="Times New Roman" w:cs="Times New Roman"/>
      <w:sz w:val="24"/>
      <w:szCs w:val="24"/>
      <w:lang w:val="en-US"/>
    </w:rPr>
  </w:style>
  <w:style w:type="paragraph" w:customStyle="1" w:styleId="consnormal0">
    <w:name w:val="consnormal"/>
    <w:basedOn w:val="a1"/>
    <w:uiPriority w:val="99"/>
    <w:rsid w:val="008D0964"/>
    <w:pPr>
      <w:autoSpaceDE/>
      <w:autoSpaceDN/>
      <w:spacing w:before="100" w:beforeAutospacing="1" w:after="100" w:afterAutospacing="1"/>
    </w:pPr>
    <w:rPr>
      <w:sz w:val="24"/>
      <w:szCs w:val="24"/>
    </w:rPr>
  </w:style>
  <w:style w:type="paragraph" w:customStyle="1" w:styleId="ConsPlusNonformat">
    <w:name w:val="ConsPlusNonformat"/>
    <w:uiPriority w:val="99"/>
    <w:rsid w:val="00C6477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6477D"/>
    <w:pPr>
      <w:widowControl w:val="0"/>
      <w:autoSpaceDE w:val="0"/>
      <w:autoSpaceDN w:val="0"/>
      <w:adjustRightInd w:val="0"/>
    </w:pPr>
    <w:rPr>
      <w:b/>
      <w:bCs/>
      <w:sz w:val="24"/>
      <w:szCs w:val="24"/>
    </w:rPr>
  </w:style>
  <w:style w:type="table" w:styleId="af9">
    <w:name w:val="Table Grid"/>
    <w:basedOn w:val="a3"/>
    <w:uiPriority w:val="59"/>
    <w:rsid w:val="005676A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1"/>
    <w:uiPriority w:val="99"/>
    <w:rsid w:val="005676AF"/>
    <w:pPr>
      <w:autoSpaceDE/>
      <w:autoSpaceDN/>
    </w:pPr>
    <w:rPr>
      <w:rFonts w:ascii="Verdana" w:hAnsi="Verdana" w:cs="Verdana"/>
      <w:sz w:val="16"/>
      <w:szCs w:val="16"/>
    </w:rPr>
  </w:style>
  <w:style w:type="paragraph" w:customStyle="1" w:styleId="fielddata">
    <w:name w:val="field_data"/>
    <w:basedOn w:val="a1"/>
    <w:uiPriority w:val="99"/>
    <w:rsid w:val="005676AF"/>
    <w:pPr>
      <w:autoSpaceDE/>
      <w:autoSpaceDN/>
      <w:spacing w:before="45" w:after="45"/>
    </w:pPr>
    <w:rPr>
      <w:rFonts w:ascii="Arial" w:hAnsi="Arial" w:cs="Arial"/>
      <w:sz w:val="16"/>
      <w:szCs w:val="16"/>
      <w:lang w:val="en-US" w:eastAsia="en-US"/>
    </w:rPr>
  </w:style>
  <w:style w:type="paragraph" w:customStyle="1" w:styleId="fieldname">
    <w:name w:val="field_name"/>
    <w:basedOn w:val="a1"/>
    <w:uiPriority w:val="99"/>
    <w:rsid w:val="005676AF"/>
    <w:pPr>
      <w:autoSpaceDE/>
      <w:autoSpaceDN/>
      <w:spacing w:before="45" w:after="45"/>
      <w:jc w:val="right"/>
    </w:pPr>
    <w:rPr>
      <w:rFonts w:ascii="Arial" w:hAnsi="Arial" w:cs="Arial"/>
      <w:b/>
      <w:bCs/>
      <w:sz w:val="16"/>
      <w:szCs w:val="16"/>
      <w:lang w:val="en-US" w:eastAsia="en-US"/>
    </w:rPr>
  </w:style>
  <w:style w:type="character" w:customStyle="1" w:styleId="fieldcomment1">
    <w:name w:val="field_comment1"/>
    <w:basedOn w:val="a2"/>
    <w:uiPriority w:val="99"/>
    <w:rsid w:val="005676AF"/>
    <w:rPr>
      <w:rFonts w:cs="Times New Roman"/>
      <w:sz w:val="9"/>
      <w:szCs w:val="9"/>
    </w:rPr>
  </w:style>
  <w:style w:type="paragraph" w:styleId="afb">
    <w:name w:val="Document Map"/>
    <w:basedOn w:val="a1"/>
    <w:link w:val="afc"/>
    <w:uiPriority w:val="99"/>
    <w:semiHidden/>
    <w:rsid w:val="00FB585D"/>
    <w:pPr>
      <w:shd w:val="clear" w:color="auto" w:fill="000080"/>
    </w:pPr>
    <w:rPr>
      <w:rFonts w:ascii="Tahoma" w:hAnsi="Tahoma" w:cs="Tahoma"/>
    </w:rPr>
  </w:style>
  <w:style w:type="character" w:customStyle="1" w:styleId="afc">
    <w:name w:val="Схема документа Знак"/>
    <w:basedOn w:val="a2"/>
    <w:link w:val="afb"/>
    <w:uiPriority w:val="99"/>
    <w:semiHidden/>
    <w:locked/>
    <w:rsid w:val="00AC5310"/>
    <w:rPr>
      <w:rFonts w:ascii="Tahoma" w:hAnsi="Tahoma" w:cs="Tahoma"/>
      <w:sz w:val="16"/>
      <w:szCs w:val="16"/>
    </w:rPr>
  </w:style>
  <w:style w:type="paragraph" w:customStyle="1" w:styleId="afd">
    <w:name w:val="Постановление"/>
    <w:basedOn w:val="a1"/>
    <w:uiPriority w:val="99"/>
    <w:rsid w:val="009B361D"/>
    <w:pPr>
      <w:autoSpaceDE/>
      <w:autoSpaceDN/>
      <w:spacing w:line="360" w:lineRule="atLeast"/>
      <w:jc w:val="center"/>
    </w:pPr>
    <w:rPr>
      <w:spacing w:val="6"/>
      <w:sz w:val="32"/>
      <w:szCs w:val="32"/>
    </w:rPr>
  </w:style>
  <w:style w:type="paragraph" w:customStyle="1" w:styleId="24">
    <w:name w:val="Вертикальный отступ 2"/>
    <w:basedOn w:val="a1"/>
    <w:uiPriority w:val="99"/>
    <w:rsid w:val="009B361D"/>
    <w:pPr>
      <w:autoSpaceDE/>
      <w:autoSpaceDN/>
      <w:jc w:val="center"/>
    </w:pPr>
    <w:rPr>
      <w:b/>
      <w:bCs/>
      <w:sz w:val="32"/>
      <w:szCs w:val="32"/>
    </w:rPr>
  </w:style>
  <w:style w:type="paragraph" w:customStyle="1" w:styleId="13">
    <w:name w:val="Вертикальный отступ 1"/>
    <w:basedOn w:val="a1"/>
    <w:uiPriority w:val="99"/>
    <w:rsid w:val="009B361D"/>
    <w:pPr>
      <w:autoSpaceDE/>
      <w:autoSpaceDN/>
      <w:jc w:val="center"/>
    </w:pPr>
    <w:rPr>
      <w:sz w:val="28"/>
      <w:szCs w:val="28"/>
      <w:lang w:val="en-US"/>
    </w:rPr>
  </w:style>
  <w:style w:type="paragraph" w:customStyle="1" w:styleId="afe">
    <w:name w:val="Номер"/>
    <w:basedOn w:val="a1"/>
    <w:uiPriority w:val="99"/>
    <w:rsid w:val="009B361D"/>
    <w:pPr>
      <w:autoSpaceDE/>
      <w:autoSpaceDN/>
      <w:spacing w:before="60" w:after="60"/>
      <w:jc w:val="center"/>
    </w:pPr>
    <w:rPr>
      <w:sz w:val="28"/>
      <w:szCs w:val="28"/>
    </w:rPr>
  </w:style>
  <w:style w:type="character" w:customStyle="1" w:styleId="s101">
    <w:name w:val="s_101"/>
    <w:basedOn w:val="a2"/>
    <w:uiPriority w:val="99"/>
    <w:rsid w:val="009B361D"/>
    <w:rPr>
      <w:rFonts w:cs="Times New Roman"/>
      <w:b/>
      <w:bCs/>
      <w:color w:val="000080"/>
      <w:u w:val="none"/>
      <w:effect w:val="none"/>
    </w:rPr>
  </w:style>
  <w:style w:type="character" w:styleId="aff">
    <w:name w:val="Hyperlink"/>
    <w:basedOn w:val="a2"/>
    <w:uiPriority w:val="99"/>
    <w:rsid w:val="00E60596"/>
    <w:rPr>
      <w:rFonts w:cs="Times New Roman"/>
      <w:color w:val="0000FF"/>
      <w:u w:val="single"/>
    </w:rPr>
  </w:style>
  <w:style w:type="paragraph" w:styleId="25">
    <w:name w:val="Body Text 2"/>
    <w:basedOn w:val="a1"/>
    <w:link w:val="26"/>
    <w:uiPriority w:val="99"/>
    <w:rsid w:val="00E60596"/>
    <w:pPr>
      <w:autoSpaceDE/>
      <w:autoSpaceDN/>
      <w:jc w:val="both"/>
    </w:pPr>
    <w:rPr>
      <w:sz w:val="24"/>
    </w:rPr>
  </w:style>
  <w:style w:type="character" w:customStyle="1" w:styleId="26">
    <w:name w:val="Основной текст 2 Знак"/>
    <w:basedOn w:val="a2"/>
    <w:link w:val="25"/>
    <w:uiPriority w:val="99"/>
    <w:locked/>
    <w:rsid w:val="00E60596"/>
    <w:rPr>
      <w:rFonts w:cs="Times New Roman"/>
      <w:sz w:val="20"/>
      <w:szCs w:val="20"/>
    </w:rPr>
  </w:style>
  <w:style w:type="paragraph" w:styleId="a0">
    <w:name w:val="List"/>
    <w:basedOn w:val="a1"/>
    <w:uiPriority w:val="99"/>
    <w:rsid w:val="00E60596"/>
    <w:pPr>
      <w:numPr>
        <w:numId w:val="2"/>
      </w:numPr>
      <w:tabs>
        <w:tab w:val="clear" w:pos="360"/>
        <w:tab w:val="left" w:pos="567"/>
      </w:tabs>
      <w:autoSpaceDE/>
      <w:autoSpaceDN/>
      <w:ind w:left="567" w:hanging="425"/>
    </w:pPr>
    <w:rPr>
      <w:sz w:val="24"/>
      <w:szCs w:val="24"/>
    </w:rPr>
  </w:style>
  <w:style w:type="paragraph" w:styleId="aff0">
    <w:name w:val="Title"/>
    <w:basedOn w:val="a1"/>
    <w:link w:val="aff1"/>
    <w:autoRedefine/>
    <w:uiPriority w:val="10"/>
    <w:qFormat/>
    <w:rsid w:val="00E60596"/>
    <w:pPr>
      <w:autoSpaceDE/>
      <w:autoSpaceDN/>
      <w:outlineLvl w:val="0"/>
    </w:pPr>
    <w:rPr>
      <w:rFonts w:ascii="Arial" w:eastAsia="Arial Unicode MS" w:hAnsi="Arial"/>
      <w:b/>
      <w:kern w:val="28"/>
      <w:sz w:val="18"/>
      <w:szCs w:val="24"/>
    </w:rPr>
  </w:style>
  <w:style w:type="character" w:customStyle="1" w:styleId="aff1">
    <w:name w:val="Название Знак"/>
    <w:basedOn w:val="a2"/>
    <w:link w:val="aff0"/>
    <w:uiPriority w:val="10"/>
    <w:locked/>
    <w:rsid w:val="00E60596"/>
    <w:rPr>
      <w:rFonts w:ascii="Arial" w:eastAsia="Arial Unicode MS" w:hAnsi="Arial" w:cs="Times New Roman"/>
      <w:b/>
      <w:kern w:val="28"/>
      <w:sz w:val="24"/>
      <w:szCs w:val="24"/>
    </w:rPr>
  </w:style>
  <w:style w:type="paragraph" w:styleId="aff2">
    <w:name w:val="List Bullet"/>
    <w:basedOn w:val="a1"/>
    <w:autoRedefine/>
    <w:uiPriority w:val="99"/>
    <w:rsid w:val="00E60596"/>
    <w:pPr>
      <w:autoSpaceDE/>
      <w:autoSpaceDN/>
      <w:jc w:val="both"/>
    </w:pPr>
    <w:rPr>
      <w:rFonts w:ascii="Arial" w:hAnsi="Arial" w:cs="Arial"/>
      <w:szCs w:val="24"/>
    </w:rPr>
  </w:style>
  <w:style w:type="paragraph" w:customStyle="1" w:styleId="14">
    <w:name w:val="Обычный1"/>
    <w:rsid w:val="00E60596"/>
    <w:pPr>
      <w:widowControl w:val="0"/>
    </w:pPr>
    <w:rPr>
      <w:i/>
    </w:rPr>
  </w:style>
  <w:style w:type="paragraph" w:customStyle="1" w:styleId="FR1">
    <w:name w:val="FR1"/>
    <w:rsid w:val="00E60596"/>
    <w:pPr>
      <w:widowControl w:val="0"/>
      <w:spacing w:line="280" w:lineRule="auto"/>
      <w:ind w:firstLine="700"/>
      <w:jc w:val="both"/>
    </w:pPr>
    <w:rPr>
      <w:rFonts w:ascii="Courier New" w:hAnsi="Courier New"/>
    </w:rPr>
  </w:style>
  <w:style w:type="paragraph" w:styleId="27">
    <w:name w:val="List 2"/>
    <w:basedOn w:val="a1"/>
    <w:uiPriority w:val="99"/>
    <w:rsid w:val="00E60596"/>
    <w:pPr>
      <w:autoSpaceDE/>
      <w:autoSpaceDN/>
      <w:ind w:left="566" w:hanging="283"/>
    </w:pPr>
    <w:rPr>
      <w:sz w:val="24"/>
      <w:szCs w:val="24"/>
    </w:rPr>
  </w:style>
  <w:style w:type="paragraph" w:customStyle="1" w:styleId="xl47">
    <w:name w:val="xl47"/>
    <w:basedOn w:val="a1"/>
    <w:rsid w:val="00E60596"/>
    <w:pPr>
      <w:pBdr>
        <w:bottom w:val="single" w:sz="4" w:space="0" w:color="auto"/>
      </w:pBdr>
      <w:autoSpaceDE/>
      <w:autoSpaceDN/>
      <w:spacing w:before="100" w:beforeAutospacing="1" w:after="100" w:afterAutospacing="1"/>
      <w:textAlignment w:val="center"/>
    </w:pPr>
    <w:rPr>
      <w:rFonts w:ascii="Arial Unicode MS" w:eastAsia="Arial Unicode MS" w:hAnsi="Arial Unicode MS"/>
      <w:sz w:val="22"/>
      <w:szCs w:val="22"/>
      <w:lang w:val="en-US" w:eastAsia="en-US"/>
    </w:rPr>
  </w:style>
  <w:style w:type="paragraph" w:styleId="28">
    <w:name w:val="toc 2"/>
    <w:basedOn w:val="a1"/>
    <w:next w:val="a1"/>
    <w:autoRedefine/>
    <w:uiPriority w:val="39"/>
    <w:qFormat/>
    <w:rsid w:val="00E60596"/>
    <w:pPr>
      <w:tabs>
        <w:tab w:val="left" w:pos="960"/>
        <w:tab w:val="right" w:leader="dot" w:pos="10430"/>
      </w:tabs>
      <w:autoSpaceDE/>
      <w:autoSpaceDN/>
      <w:ind w:left="240"/>
      <w:jc w:val="both"/>
    </w:pPr>
    <w:rPr>
      <w:rFonts w:ascii="Tahoma" w:hAnsi="Tahoma" w:cs="Tahoma"/>
      <w:smallCaps/>
      <w:noProof/>
      <w:sz w:val="18"/>
      <w:szCs w:val="18"/>
    </w:rPr>
  </w:style>
  <w:style w:type="paragraph" w:styleId="34">
    <w:name w:val="toc 3"/>
    <w:basedOn w:val="a1"/>
    <w:next w:val="a1"/>
    <w:autoRedefine/>
    <w:uiPriority w:val="39"/>
    <w:semiHidden/>
    <w:qFormat/>
    <w:rsid w:val="00E60596"/>
    <w:pPr>
      <w:autoSpaceDE/>
      <w:autoSpaceDN/>
      <w:ind w:left="480"/>
    </w:pPr>
    <w:rPr>
      <w:rFonts w:ascii="Calibri" w:hAnsi="Calibri" w:cs="Calibri"/>
      <w:i/>
      <w:iCs/>
    </w:rPr>
  </w:style>
  <w:style w:type="paragraph" w:styleId="41">
    <w:name w:val="toc 4"/>
    <w:basedOn w:val="a1"/>
    <w:next w:val="a1"/>
    <w:autoRedefine/>
    <w:uiPriority w:val="39"/>
    <w:semiHidden/>
    <w:rsid w:val="00E60596"/>
    <w:pPr>
      <w:autoSpaceDE/>
      <w:autoSpaceDN/>
      <w:ind w:left="720"/>
    </w:pPr>
    <w:rPr>
      <w:rFonts w:ascii="Calibri" w:hAnsi="Calibri" w:cs="Calibri"/>
      <w:sz w:val="18"/>
      <w:szCs w:val="18"/>
    </w:rPr>
  </w:style>
  <w:style w:type="paragraph" w:styleId="51">
    <w:name w:val="toc 5"/>
    <w:basedOn w:val="a1"/>
    <w:next w:val="a1"/>
    <w:autoRedefine/>
    <w:uiPriority w:val="39"/>
    <w:semiHidden/>
    <w:rsid w:val="00E60596"/>
    <w:pPr>
      <w:autoSpaceDE/>
      <w:autoSpaceDN/>
      <w:ind w:left="960"/>
    </w:pPr>
    <w:rPr>
      <w:rFonts w:ascii="Calibri" w:hAnsi="Calibri" w:cs="Calibri"/>
      <w:sz w:val="18"/>
      <w:szCs w:val="18"/>
    </w:rPr>
  </w:style>
  <w:style w:type="paragraph" w:styleId="61">
    <w:name w:val="toc 6"/>
    <w:basedOn w:val="a1"/>
    <w:next w:val="a1"/>
    <w:autoRedefine/>
    <w:uiPriority w:val="39"/>
    <w:semiHidden/>
    <w:rsid w:val="00E60596"/>
    <w:pPr>
      <w:autoSpaceDE/>
      <w:autoSpaceDN/>
      <w:ind w:left="1200"/>
    </w:pPr>
    <w:rPr>
      <w:rFonts w:ascii="Calibri" w:hAnsi="Calibri" w:cs="Calibri"/>
      <w:sz w:val="18"/>
      <w:szCs w:val="18"/>
    </w:rPr>
  </w:style>
  <w:style w:type="paragraph" w:styleId="71">
    <w:name w:val="toc 7"/>
    <w:basedOn w:val="a1"/>
    <w:next w:val="a1"/>
    <w:autoRedefine/>
    <w:uiPriority w:val="39"/>
    <w:semiHidden/>
    <w:rsid w:val="00E60596"/>
    <w:pPr>
      <w:autoSpaceDE/>
      <w:autoSpaceDN/>
      <w:ind w:left="1440"/>
    </w:pPr>
    <w:rPr>
      <w:rFonts w:ascii="Calibri" w:hAnsi="Calibri" w:cs="Calibri"/>
      <w:sz w:val="18"/>
      <w:szCs w:val="18"/>
    </w:rPr>
  </w:style>
  <w:style w:type="paragraph" w:styleId="81">
    <w:name w:val="toc 8"/>
    <w:basedOn w:val="a1"/>
    <w:next w:val="a1"/>
    <w:autoRedefine/>
    <w:uiPriority w:val="39"/>
    <w:semiHidden/>
    <w:rsid w:val="00E60596"/>
    <w:pPr>
      <w:autoSpaceDE/>
      <w:autoSpaceDN/>
      <w:ind w:left="1680"/>
    </w:pPr>
    <w:rPr>
      <w:rFonts w:ascii="Calibri" w:hAnsi="Calibri" w:cs="Calibri"/>
      <w:sz w:val="18"/>
      <w:szCs w:val="18"/>
    </w:rPr>
  </w:style>
  <w:style w:type="paragraph" w:styleId="91">
    <w:name w:val="toc 9"/>
    <w:basedOn w:val="a1"/>
    <w:next w:val="a1"/>
    <w:autoRedefine/>
    <w:uiPriority w:val="39"/>
    <w:semiHidden/>
    <w:rsid w:val="00E60596"/>
    <w:pPr>
      <w:autoSpaceDE/>
      <w:autoSpaceDN/>
      <w:ind w:left="1920"/>
    </w:pPr>
    <w:rPr>
      <w:rFonts w:ascii="Calibri" w:hAnsi="Calibri" w:cs="Calibri"/>
      <w:sz w:val="18"/>
      <w:szCs w:val="18"/>
    </w:rPr>
  </w:style>
  <w:style w:type="paragraph" w:customStyle="1" w:styleId="aff3">
    <w:name w:val="Форматированный"/>
    <w:basedOn w:val="a1"/>
    <w:rsid w:val="00E6059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rPr>
  </w:style>
  <w:style w:type="paragraph" w:styleId="aff4">
    <w:name w:val="Block Text"/>
    <w:basedOn w:val="a1"/>
    <w:uiPriority w:val="99"/>
    <w:rsid w:val="00E60596"/>
    <w:pPr>
      <w:suppressLineNumbers/>
      <w:autoSpaceDE/>
      <w:autoSpaceDN/>
      <w:ind w:left="360" w:right="45"/>
      <w:jc w:val="both"/>
    </w:pPr>
    <w:rPr>
      <w:rFonts w:ascii="Tahoma" w:hAnsi="Tahoma" w:cs="Tahoma"/>
      <w:sz w:val="14"/>
    </w:rPr>
  </w:style>
  <w:style w:type="paragraph" w:customStyle="1" w:styleId="2">
    <w:name w:val="2"/>
    <w:basedOn w:val="a1"/>
    <w:rsid w:val="00E60596"/>
    <w:pPr>
      <w:keepNext/>
      <w:keepLines/>
      <w:numPr>
        <w:numId w:val="3"/>
      </w:numPr>
      <w:tabs>
        <w:tab w:val="right" w:pos="9639"/>
      </w:tabs>
      <w:suppressAutoHyphens/>
      <w:autoSpaceDE/>
      <w:autoSpaceDN/>
      <w:spacing w:after="100"/>
      <w:jc w:val="center"/>
    </w:pPr>
    <w:rPr>
      <w:rFonts w:ascii="Tahoma" w:hAnsi="Tahoma" w:cs="Tahoma"/>
      <w:b/>
      <w:smallCaps/>
      <w:sz w:val="17"/>
    </w:rPr>
  </w:style>
  <w:style w:type="paragraph" w:customStyle="1" w:styleId="3">
    <w:name w:val="3"/>
    <w:basedOn w:val="a1"/>
    <w:rsid w:val="00E60596"/>
    <w:pPr>
      <w:numPr>
        <w:ilvl w:val="1"/>
        <w:numId w:val="3"/>
      </w:numPr>
      <w:tabs>
        <w:tab w:val="right" w:pos="9639"/>
      </w:tabs>
      <w:autoSpaceDE/>
      <w:autoSpaceDN/>
      <w:spacing w:after="80"/>
      <w:jc w:val="both"/>
    </w:pPr>
    <w:rPr>
      <w:rFonts w:ascii="Tahoma" w:hAnsi="Tahoma" w:cs="Tahoma"/>
      <w:sz w:val="16"/>
    </w:rPr>
  </w:style>
  <w:style w:type="paragraph" w:styleId="35">
    <w:name w:val="Body Text 3"/>
    <w:basedOn w:val="a1"/>
    <w:link w:val="36"/>
    <w:uiPriority w:val="99"/>
    <w:rsid w:val="00E60596"/>
    <w:pPr>
      <w:autoSpaceDE/>
      <w:autoSpaceDN/>
      <w:spacing w:after="120"/>
    </w:pPr>
    <w:rPr>
      <w:sz w:val="16"/>
      <w:szCs w:val="16"/>
    </w:rPr>
  </w:style>
  <w:style w:type="character" w:customStyle="1" w:styleId="36">
    <w:name w:val="Основной текст 3 Знак"/>
    <w:basedOn w:val="a2"/>
    <w:link w:val="35"/>
    <w:uiPriority w:val="99"/>
    <w:locked/>
    <w:rsid w:val="00E60596"/>
    <w:rPr>
      <w:rFonts w:cs="Times New Roman"/>
      <w:sz w:val="16"/>
      <w:szCs w:val="16"/>
    </w:rPr>
  </w:style>
  <w:style w:type="paragraph" w:customStyle="1" w:styleId="Iauiue1">
    <w:name w:val="Iau?iue1"/>
    <w:rsid w:val="00E60596"/>
    <w:rPr>
      <w:rFonts w:ascii="Pragmatica" w:hAnsi="Pragmatica"/>
      <w:sz w:val="24"/>
    </w:rPr>
  </w:style>
  <w:style w:type="paragraph" w:styleId="aff5">
    <w:name w:val="List Paragraph"/>
    <w:basedOn w:val="a1"/>
    <w:uiPriority w:val="34"/>
    <w:qFormat/>
    <w:rsid w:val="00E60596"/>
    <w:pPr>
      <w:autoSpaceDE/>
      <w:autoSpaceDN/>
      <w:ind w:left="708"/>
    </w:pPr>
    <w:rPr>
      <w:sz w:val="24"/>
      <w:szCs w:val="24"/>
    </w:rPr>
  </w:style>
  <w:style w:type="paragraph" w:styleId="aff6">
    <w:name w:val="Revision"/>
    <w:hidden/>
    <w:uiPriority w:val="99"/>
    <w:semiHidden/>
    <w:rsid w:val="00E60596"/>
    <w:rPr>
      <w:sz w:val="24"/>
      <w:szCs w:val="24"/>
    </w:rPr>
  </w:style>
  <w:style w:type="paragraph" w:styleId="aff7">
    <w:name w:val="TOC Heading"/>
    <w:basedOn w:val="1"/>
    <w:next w:val="a1"/>
    <w:uiPriority w:val="39"/>
    <w:qFormat/>
    <w:rsid w:val="00E60596"/>
    <w:pPr>
      <w:keepLines/>
      <w:autoSpaceDE/>
      <w:autoSpaceDN/>
      <w:spacing w:before="480" w:line="276" w:lineRule="auto"/>
      <w:jc w:val="left"/>
      <w:outlineLvl w:val="9"/>
    </w:pPr>
    <w:rPr>
      <w:rFonts w:ascii="Cambria" w:hAnsi="Cambria" w:cs="Times New Roman"/>
      <w:color w:val="365F91"/>
    </w:rPr>
  </w:style>
  <w:style w:type="paragraph" w:customStyle="1" w:styleId="Style4">
    <w:name w:val="Style4"/>
    <w:basedOn w:val="a1"/>
    <w:rsid w:val="00E60596"/>
    <w:pPr>
      <w:widowControl w:val="0"/>
      <w:adjustRightInd w:val="0"/>
      <w:jc w:val="both"/>
    </w:pPr>
    <w:rPr>
      <w:sz w:val="24"/>
      <w:szCs w:val="24"/>
    </w:rPr>
  </w:style>
  <w:style w:type="paragraph" w:customStyle="1" w:styleId="Style12">
    <w:name w:val="Style12"/>
    <w:basedOn w:val="a1"/>
    <w:rsid w:val="00E60596"/>
    <w:pPr>
      <w:widowControl w:val="0"/>
      <w:adjustRightInd w:val="0"/>
    </w:pPr>
    <w:rPr>
      <w:sz w:val="24"/>
      <w:szCs w:val="24"/>
    </w:rPr>
  </w:style>
  <w:style w:type="paragraph" w:customStyle="1" w:styleId="Style20">
    <w:name w:val="Style20"/>
    <w:basedOn w:val="a1"/>
    <w:rsid w:val="00E60596"/>
    <w:pPr>
      <w:widowControl w:val="0"/>
      <w:adjustRightInd w:val="0"/>
    </w:pPr>
    <w:rPr>
      <w:sz w:val="24"/>
      <w:szCs w:val="24"/>
    </w:rPr>
  </w:style>
  <w:style w:type="character" w:customStyle="1" w:styleId="FontStyle24">
    <w:name w:val="Font Style24"/>
    <w:rsid w:val="00E60596"/>
    <w:rPr>
      <w:rFonts w:ascii="Times New Roman" w:hAnsi="Times New Roman"/>
      <w:sz w:val="20"/>
    </w:rPr>
  </w:style>
  <w:style w:type="character" w:customStyle="1" w:styleId="FontStyle29">
    <w:name w:val="Font Style29"/>
    <w:rsid w:val="00E60596"/>
    <w:rPr>
      <w:rFonts w:ascii="Times New Roman" w:hAnsi="Times New Roman"/>
      <w:sz w:val="20"/>
    </w:rPr>
  </w:style>
  <w:style w:type="character" w:customStyle="1" w:styleId="FontStyle30">
    <w:name w:val="Font Style30"/>
    <w:rsid w:val="00E60596"/>
    <w:rPr>
      <w:rFonts w:ascii="Times New Roman" w:hAnsi="Times New Roman"/>
      <w:sz w:val="18"/>
    </w:rPr>
  </w:style>
  <w:style w:type="paragraph" w:customStyle="1" w:styleId="aff8">
    <w:name w:val="Марк список"/>
    <w:basedOn w:val="aff2"/>
    <w:uiPriority w:val="99"/>
    <w:rsid w:val="00E60596"/>
    <w:pPr>
      <w:keepLines/>
      <w:tabs>
        <w:tab w:val="left" w:pos="567"/>
        <w:tab w:val="num" w:pos="720"/>
        <w:tab w:val="left" w:pos="794"/>
        <w:tab w:val="num" w:pos="890"/>
        <w:tab w:val="num" w:pos="1287"/>
        <w:tab w:val="left" w:pos="1418"/>
      </w:tabs>
      <w:autoSpaceDE w:val="0"/>
      <w:autoSpaceDN w:val="0"/>
    </w:pPr>
    <w:rPr>
      <w:rFonts w:ascii="Times New Roman" w:hAnsi="Times New Roman" w:cs="Times New Roman"/>
      <w:szCs w:val="20"/>
    </w:rPr>
  </w:style>
  <w:style w:type="character" w:customStyle="1" w:styleId="29">
    <w:name w:val="Стиль поручений2"/>
    <w:uiPriority w:val="1"/>
    <w:rsid w:val="00E60596"/>
    <w:rPr>
      <w:rFonts w:ascii="Tahoma" w:hAnsi="Tahoma"/>
      <w:b/>
      <w:sz w:val="28"/>
    </w:rPr>
  </w:style>
  <w:style w:type="character" w:styleId="aff9">
    <w:name w:val="FollowedHyperlink"/>
    <w:basedOn w:val="a2"/>
    <w:uiPriority w:val="99"/>
    <w:unhideWhenUsed/>
    <w:rsid w:val="00E60596"/>
    <w:rPr>
      <w:rFonts w:cs="Times New Roman"/>
      <w:color w:val="800080"/>
      <w:u w:val="single"/>
    </w:rPr>
  </w:style>
  <w:style w:type="paragraph" w:customStyle="1" w:styleId="Default">
    <w:name w:val="Default"/>
    <w:basedOn w:val="a1"/>
    <w:rsid w:val="00E60596"/>
    <w:rPr>
      <w:rFonts w:ascii="Tahoma" w:hAnsi="Tahoma" w:cs="Tahoma"/>
      <w:color w:val="000000"/>
      <w:sz w:val="24"/>
      <w:szCs w:val="24"/>
    </w:rPr>
  </w:style>
  <w:style w:type="paragraph" w:styleId="a">
    <w:name w:val="List Number"/>
    <w:basedOn w:val="a1"/>
    <w:uiPriority w:val="99"/>
    <w:semiHidden/>
    <w:unhideWhenUsed/>
    <w:rsid w:val="00380BF8"/>
    <w:pPr>
      <w:numPr>
        <w:numId w:val="1"/>
      </w:numPr>
      <w:contextualSpacing/>
    </w:pPr>
  </w:style>
  <w:style w:type="character" w:customStyle="1" w:styleId="affa">
    <w:name w:val="Основной текст_"/>
    <w:basedOn w:val="a2"/>
    <w:link w:val="15"/>
    <w:locked/>
    <w:rsid w:val="00FE0F1E"/>
    <w:rPr>
      <w:rFonts w:cs="Times New Roman"/>
      <w:spacing w:val="3"/>
      <w:sz w:val="21"/>
      <w:szCs w:val="21"/>
      <w:shd w:val="clear" w:color="auto" w:fill="FFFFFF"/>
    </w:rPr>
  </w:style>
  <w:style w:type="paragraph" w:customStyle="1" w:styleId="15">
    <w:name w:val="Основной текст1"/>
    <w:basedOn w:val="a1"/>
    <w:link w:val="affa"/>
    <w:rsid w:val="00FE0F1E"/>
    <w:pPr>
      <w:shd w:val="clear" w:color="auto" w:fill="FFFFFF"/>
      <w:autoSpaceDE/>
      <w:autoSpaceDN/>
      <w:spacing w:before="360" w:after="240" w:line="274" w:lineRule="exact"/>
      <w:jc w:val="both"/>
    </w:pPr>
    <w:rPr>
      <w:spacing w:val="3"/>
      <w:sz w:val="21"/>
      <w:szCs w:val="21"/>
    </w:rPr>
  </w:style>
  <w:style w:type="character" w:styleId="affb">
    <w:name w:val="Placeholder Text"/>
    <w:basedOn w:val="a2"/>
    <w:uiPriority w:val="99"/>
    <w:semiHidden/>
    <w:rsid w:val="00D932A8"/>
    <w:rPr>
      <w:color w:val="808080"/>
    </w:rPr>
  </w:style>
  <w:style w:type="character" w:styleId="affc">
    <w:name w:val="Strong"/>
    <w:basedOn w:val="a2"/>
    <w:uiPriority w:val="22"/>
    <w:qFormat/>
    <w:rsid w:val="00303A50"/>
    <w:rPr>
      <w:b/>
      <w:bCs/>
    </w:rPr>
  </w:style>
  <w:style w:type="paragraph" w:customStyle="1" w:styleId="western">
    <w:name w:val="western"/>
    <w:basedOn w:val="a1"/>
    <w:rsid w:val="007970C1"/>
    <w:pPr>
      <w:autoSpaceDE/>
      <w:autoSpaceDN/>
      <w:spacing w:before="100" w:beforeAutospacing="1" w:after="142" w:line="276" w:lineRule="auto"/>
    </w:pPr>
  </w:style>
  <w:style w:type="paragraph" w:customStyle="1" w:styleId="sdfootnote-western">
    <w:name w:val="sdfootnote-western"/>
    <w:basedOn w:val="a1"/>
    <w:rsid w:val="001D7339"/>
    <w:pPr>
      <w:autoSpaceDE/>
      <w:autoSpaceDN/>
      <w:spacing w:before="100" w:beforeAutospacing="1"/>
    </w:pPr>
    <w:rPr>
      <w:rFonts w:ascii="Calibri" w:hAnsi="Calibri"/>
    </w:rPr>
  </w:style>
  <w:style w:type="character" w:customStyle="1" w:styleId="h1header">
    <w:name w:val="h1header"/>
    <w:basedOn w:val="a2"/>
    <w:rsid w:val="00F24002"/>
  </w:style>
  <w:style w:type="character" w:customStyle="1" w:styleId="markedcontent">
    <w:name w:val="markedcontent"/>
    <w:basedOn w:val="a2"/>
    <w:rsid w:val="002B6057"/>
  </w:style>
  <w:style w:type="character" w:customStyle="1" w:styleId="q-time">
    <w:name w:val="q-time"/>
    <w:basedOn w:val="a2"/>
    <w:rsid w:val="00DA232E"/>
  </w:style>
</w:styles>
</file>

<file path=word/webSettings.xml><?xml version="1.0" encoding="utf-8"?>
<w:webSettings xmlns:r="http://schemas.openxmlformats.org/officeDocument/2006/relationships" xmlns:w="http://schemas.openxmlformats.org/wordprocessingml/2006/main">
  <w:divs>
    <w:div w:id="21250162">
      <w:bodyDiv w:val="1"/>
      <w:marLeft w:val="0"/>
      <w:marRight w:val="0"/>
      <w:marTop w:val="0"/>
      <w:marBottom w:val="0"/>
      <w:divBdr>
        <w:top w:val="none" w:sz="0" w:space="0" w:color="auto"/>
        <w:left w:val="none" w:sz="0" w:space="0" w:color="auto"/>
        <w:bottom w:val="none" w:sz="0" w:space="0" w:color="auto"/>
        <w:right w:val="none" w:sz="0" w:space="0" w:color="auto"/>
      </w:divBdr>
    </w:div>
    <w:div w:id="48766907">
      <w:bodyDiv w:val="1"/>
      <w:marLeft w:val="0"/>
      <w:marRight w:val="0"/>
      <w:marTop w:val="0"/>
      <w:marBottom w:val="0"/>
      <w:divBdr>
        <w:top w:val="none" w:sz="0" w:space="0" w:color="auto"/>
        <w:left w:val="none" w:sz="0" w:space="0" w:color="auto"/>
        <w:bottom w:val="none" w:sz="0" w:space="0" w:color="auto"/>
        <w:right w:val="none" w:sz="0" w:space="0" w:color="auto"/>
      </w:divBdr>
    </w:div>
    <w:div w:id="105514289">
      <w:marLeft w:val="0"/>
      <w:marRight w:val="0"/>
      <w:marTop w:val="0"/>
      <w:marBottom w:val="0"/>
      <w:divBdr>
        <w:top w:val="none" w:sz="0" w:space="0" w:color="auto"/>
        <w:left w:val="none" w:sz="0" w:space="0" w:color="auto"/>
        <w:bottom w:val="none" w:sz="0" w:space="0" w:color="auto"/>
        <w:right w:val="none" w:sz="0" w:space="0" w:color="auto"/>
      </w:divBdr>
    </w:div>
    <w:div w:id="136726696">
      <w:bodyDiv w:val="1"/>
      <w:marLeft w:val="0"/>
      <w:marRight w:val="0"/>
      <w:marTop w:val="0"/>
      <w:marBottom w:val="0"/>
      <w:divBdr>
        <w:top w:val="none" w:sz="0" w:space="0" w:color="auto"/>
        <w:left w:val="none" w:sz="0" w:space="0" w:color="auto"/>
        <w:bottom w:val="none" w:sz="0" w:space="0" w:color="auto"/>
        <w:right w:val="none" w:sz="0" w:space="0" w:color="auto"/>
      </w:divBdr>
      <w:divsChild>
        <w:div w:id="205071190">
          <w:marLeft w:val="0"/>
          <w:marRight w:val="0"/>
          <w:marTop w:val="0"/>
          <w:marBottom w:val="0"/>
          <w:divBdr>
            <w:top w:val="none" w:sz="0" w:space="0" w:color="auto"/>
            <w:left w:val="none" w:sz="0" w:space="0" w:color="auto"/>
            <w:bottom w:val="none" w:sz="0" w:space="0" w:color="auto"/>
            <w:right w:val="none" w:sz="0" w:space="0" w:color="auto"/>
          </w:divBdr>
        </w:div>
        <w:div w:id="698580924">
          <w:marLeft w:val="0"/>
          <w:marRight w:val="0"/>
          <w:marTop w:val="0"/>
          <w:marBottom w:val="0"/>
          <w:divBdr>
            <w:top w:val="none" w:sz="0" w:space="0" w:color="auto"/>
            <w:left w:val="none" w:sz="0" w:space="0" w:color="auto"/>
            <w:bottom w:val="none" w:sz="0" w:space="0" w:color="auto"/>
            <w:right w:val="none" w:sz="0" w:space="0" w:color="auto"/>
          </w:divBdr>
        </w:div>
      </w:divsChild>
    </w:div>
    <w:div w:id="308898499">
      <w:bodyDiv w:val="1"/>
      <w:marLeft w:val="0"/>
      <w:marRight w:val="0"/>
      <w:marTop w:val="0"/>
      <w:marBottom w:val="0"/>
      <w:divBdr>
        <w:top w:val="none" w:sz="0" w:space="0" w:color="auto"/>
        <w:left w:val="none" w:sz="0" w:space="0" w:color="auto"/>
        <w:bottom w:val="none" w:sz="0" w:space="0" w:color="auto"/>
        <w:right w:val="none" w:sz="0" w:space="0" w:color="auto"/>
      </w:divBdr>
    </w:div>
    <w:div w:id="317197589">
      <w:bodyDiv w:val="1"/>
      <w:marLeft w:val="0"/>
      <w:marRight w:val="0"/>
      <w:marTop w:val="0"/>
      <w:marBottom w:val="0"/>
      <w:divBdr>
        <w:top w:val="none" w:sz="0" w:space="0" w:color="auto"/>
        <w:left w:val="none" w:sz="0" w:space="0" w:color="auto"/>
        <w:bottom w:val="none" w:sz="0" w:space="0" w:color="auto"/>
        <w:right w:val="none" w:sz="0" w:space="0" w:color="auto"/>
      </w:divBdr>
    </w:div>
    <w:div w:id="399905438">
      <w:bodyDiv w:val="1"/>
      <w:marLeft w:val="0"/>
      <w:marRight w:val="0"/>
      <w:marTop w:val="0"/>
      <w:marBottom w:val="0"/>
      <w:divBdr>
        <w:top w:val="none" w:sz="0" w:space="0" w:color="auto"/>
        <w:left w:val="none" w:sz="0" w:space="0" w:color="auto"/>
        <w:bottom w:val="none" w:sz="0" w:space="0" w:color="auto"/>
        <w:right w:val="none" w:sz="0" w:space="0" w:color="auto"/>
      </w:divBdr>
    </w:div>
    <w:div w:id="472455581">
      <w:bodyDiv w:val="1"/>
      <w:marLeft w:val="0"/>
      <w:marRight w:val="0"/>
      <w:marTop w:val="0"/>
      <w:marBottom w:val="0"/>
      <w:divBdr>
        <w:top w:val="none" w:sz="0" w:space="0" w:color="auto"/>
        <w:left w:val="none" w:sz="0" w:space="0" w:color="auto"/>
        <w:bottom w:val="none" w:sz="0" w:space="0" w:color="auto"/>
        <w:right w:val="none" w:sz="0" w:space="0" w:color="auto"/>
      </w:divBdr>
    </w:div>
    <w:div w:id="567303079">
      <w:bodyDiv w:val="1"/>
      <w:marLeft w:val="0"/>
      <w:marRight w:val="0"/>
      <w:marTop w:val="0"/>
      <w:marBottom w:val="0"/>
      <w:divBdr>
        <w:top w:val="none" w:sz="0" w:space="0" w:color="auto"/>
        <w:left w:val="none" w:sz="0" w:space="0" w:color="auto"/>
        <w:bottom w:val="none" w:sz="0" w:space="0" w:color="auto"/>
        <w:right w:val="none" w:sz="0" w:space="0" w:color="auto"/>
      </w:divBdr>
      <w:divsChild>
        <w:div w:id="276839582">
          <w:marLeft w:val="0"/>
          <w:marRight w:val="0"/>
          <w:marTop w:val="0"/>
          <w:marBottom w:val="0"/>
          <w:divBdr>
            <w:top w:val="none" w:sz="0" w:space="0" w:color="auto"/>
            <w:left w:val="none" w:sz="0" w:space="0" w:color="auto"/>
            <w:bottom w:val="none" w:sz="0" w:space="0" w:color="auto"/>
            <w:right w:val="none" w:sz="0" w:space="0" w:color="auto"/>
          </w:divBdr>
          <w:divsChild>
            <w:div w:id="493838083">
              <w:marLeft w:val="0"/>
              <w:marRight w:val="0"/>
              <w:marTop w:val="0"/>
              <w:marBottom w:val="0"/>
              <w:divBdr>
                <w:top w:val="none" w:sz="0" w:space="0" w:color="auto"/>
                <w:left w:val="none" w:sz="0" w:space="0" w:color="auto"/>
                <w:bottom w:val="none" w:sz="0" w:space="0" w:color="auto"/>
                <w:right w:val="none" w:sz="0" w:space="0" w:color="auto"/>
              </w:divBdr>
              <w:divsChild>
                <w:div w:id="1793862276">
                  <w:marLeft w:val="0"/>
                  <w:marRight w:val="0"/>
                  <w:marTop w:val="0"/>
                  <w:marBottom w:val="0"/>
                  <w:divBdr>
                    <w:top w:val="none" w:sz="0" w:space="0" w:color="auto"/>
                    <w:left w:val="none" w:sz="0" w:space="0" w:color="auto"/>
                    <w:bottom w:val="none" w:sz="0" w:space="0" w:color="auto"/>
                    <w:right w:val="none" w:sz="0" w:space="0" w:color="auto"/>
                  </w:divBdr>
                  <w:divsChild>
                    <w:div w:id="985935911">
                      <w:marLeft w:val="0"/>
                      <w:marRight w:val="0"/>
                      <w:marTop w:val="0"/>
                      <w:marBottom w:val="0"/>
                      <w:divBdr>
                        <w:top w:val="none" w:sz="0" w:space="0" w:color="auto"/>
                        <w:left w:val="none" w:sz="0" w:space="0" w:color="auto"/>
                        <w:bottom w:val="none" w:sz="0" w:space="0" w:color="auto"/>
                        <w:right w:val="none" w:sz="0" w:space="0" w:color="auto"/>
                      </w:divBdr>
                      <w:divsChild>
                        <w:div w:id="1346907751">
                          <w:marLeft w:val="0"/>
                          <w:marRight w:val="0"/>
                          <w:marTop w:val="0"/>
                          <w:marBottom w:val="0"/>
                          <w:divBdr>
                            <w:top w:val="none" w:sz="0" w:space="0" w:color="auto"/>
                            <w:left w:val="none" w:sz="0" w:space="0" w:color="auto"/>
                            <w:bottom w:val="none" w:sz="0" w:space="0" w:color="auto"/>
                            <w:right w:val="none" w:sz="0" w:space="0" w:color="auto"/>
                          </w:divBdr>
                          <w:divsChild>
                            <w:div w:id="1182401278">
                              <w:marLeft w:val="0"/>
                              <w:marRight w:val="0"/>
                              <w:marTop w:val="0"/>
                              <w:marBottom w:val="0"/>
                              <w:divBdr>
                                <w:top w:val="none" w:sz="0" w:space="0" w:color="auto"/>
                                <w:left w:val="none" w:sz="0" w:space="0" w:color="auto"/>
                                <w:bottom w:val="none" w:sz="0" w:space="0" w:color="auto"/>
                                <w:right w:val="none" w:sz="0" w:space="0" w:color="auto"/>
                              </w:divBdr>
                              <w:divsChild>
                                <w:div w:id="1397899464">
                                  <w:marLeft w:val="0"/>
                                  <w:marRight w:val="0"/>
                                  <w:marTop w:val="0"/>
                                  <w:marBottom w:val="0"/>
                                  <w:divBdr>
                                    <w:top w:val="none" w:sz="0" w:space="0" w:color="auto"/>
                                    <w:left w:val="none" w:sz="0" w:space="0" w:color="auto"/>
                                    <w:bottom w:val="none" w:sz="0" w:space="0" w:color="auto"/>
                                    <w:right w:val="none" w:sz="0" w:space="0" w:color="auto"/>
                                  </w:divBdr>
                                  <w:divsChild>
                                    <w:div w:id="350570196">
                                      <w:marLeft w:val="0"/>
                                      <w:marRight w:val="0"/>
                                      <w:marTop w:val="0"/>
                                      <w:marBottom w:val="0"/>
                                      <w:divBdr>
                                        <w:top w:val="none" w:sz="0" w:space="0" w:color="auto"/>
                                        <w:left w:val="none" w:sz="0" w:space="0" w:color="auto"/>
                                        <w:bottom w:val="none" w:sz="0" w:space="0" w:color="auto"/>
                                        <w:right w:val="none" w:sz="0" w:space="0" w:color="auto"/>
                                      </w:divBdr>
                                    </w:div>
                                    <w:div w:id="578712429">
                                      <w:marLeft w:val="0"/>
                                      <w:marRight w:val="0"/>
                                      <w:marTop w:val="0"/>
                                      <w:marBottom w:val="0"/>
                                      <w:divBdr>
                                        <w:top w:val="none" w:sz="0" w:space="0" w:color="auto"/>
                                        <w:left w:val="none" w:sz="0" w:space="0" w:color="auto"/>
                                        <w:bottom w:val="none" w:sz="0" w:space="0" w:color="auto"/>
                                        <w:right w:val="none" w:sz="0" w:space="0" w:color="auto"/>
                                      </w:divBdr>
                                      <w:divsChild>
                                        <w:div w:id="1573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938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659">
          <w:marLeft w:val="0"/>
          <w:marRight w:val="0"/>
          <w:marTop w:val="0"/>
          <w:marBottom w:val="0"/>
          <w:divBdr>
            <w:top w:val="none" w:sz="0" w:space="0" w:color="auto"/>
            <w:left w:val="none" w:sz="0" w:space="0" w:color="auto"/>
            <w:bottom w:val="none" w:sz="0" w:space="0" w:color="auto"/>
            <w:right w:val="none" w:sz="0" w:space="0" w:color="auto"/>
          </w:divBdr>
        </w:div>
      </w:divsChild>
    </w:div>
    <w:div w:id="727648576">
      <w:bodyDiv w:val="1"/>
      <w:marLeft w:val="0"/>
      <w:marRight w:val="0"/>
      <w:marTop w:val="0"/>
      <w:marBottom w:val="0"/>
      <w:divBdr>
        <w:top w:val="none" w:sz="0" w:space="0" w:color="auto"/>
        <w:left w:val="none" w:sz="0" w:space="0" w:color="auto"/>
        <w:bottom w:val="none" w:sz="0" w:space="0" w:color="auto"/>
        <w:right w:val="none" w:sz="0" w:space="0" w:color="auto"/>
      </w:divBdr>
    </w:div>
    <w:div w:id="789327439">
      <w:bodyDiv w:val="1"/>
      <w:marLeft w:val="0"/>
      <w:marRight w:val="0"/>
      <w:marTop w:val="0"/>
      <w:marBottom w:val="0"/>
      <w:divBdr>
        <w:top w:val="none" w:sz="0" w:space="0" w:color="auto"/>
        <w:left w:val="none" w:sz="0" w:space="0" w:color="auto"/>
        <w:bottom w:val="none" w:sz="0" w:space="0" w:color="auto"/>
        <w:right w:val="none" w:sz="0" w:space="0" w:color="auto"/>
      </w:divBdr>
    </w:div>
    <w:div w:id="790788701">
      <w:bodyDiv w:val="1"/>
      <w:marLeft w:val="0"/>
      <w:marRight w:val="0"/>
      <w:marTop w:val="0"/>
      <w:marBottom w:val="0"/>
      <w:divBdr>
        <w:top w:val="none" w:sz="0" w:space="0" w:color="auto"/>
        <w:left w:val="none" w:sz="0" w:space="0" w:color="auto"/>
        <w:bottom w:val="none" w:sz="0" w:space="0" w:color="auto"/>
        <w:right w:val="none" w:sz="0" w:space="0" w:color="auto"/>
      </w:divBdr>
    </w:div>
    <w:div w:id="892929093">
      <w:bodyDiv w:val="1"/>
      <w:marLeft w:val="0"/>
      <w:marRight w:val="0"/>
      <w:marTop w:val="0"/>
      <w:marBottom w:val="0"/>
      <w:divBdr>
        <w:top w:val="none" w:sz="0" w:space="0" w:color="auto"/>
        <w:left w:val="none" w:sz="0" w:space="0" w:color="auto"/>
        <w:bottom w:val="none" w:sz="0" w:space="0" w:color="auto"/>
        <w:right w:val="none" w:sz="0" w:space="0" w:color="auto"/>
      </w:divBdr>
    </w:div>
    <w:div w:id="901479354">
      <w:bodyDiv w:val="1"/>
      <w:marLeft w:val="0"/>
      <w:marRight w:val="0"/>
      <w:marTop w:val="0"/>
      <w:marBottom w:val="0"/>
      <w:divBdr>
        <w:top w:val="none" w:sz="0" w:space="0" w:color="auto"/>
        <w:left w:val="none" w:sz="0" w:space="0" w:color="auto"/>
        <w:bottom w:val="none" w:sz="0" w:space="0" w:color="auto"/>
        <w:right w:val="none" w:sz="0" w:space="0" w:color="auto"/>
      </w:divBdr>
    </w:div>
    <w:div w:id="950403192">
      <w:bodyDiv w:val="1"/>
      <w:marLeft w:val="0"/>
      <w:marRight w:val="0"/>
      <w:marTop w:val="0"/>
      <w:marBottom w:val="0"/>
      <w:divBdr>
        <w:top w:val="none" w:sz="0" w:space="0" w:color="auto"/>
        <w:left w:val="none" w:sz="0" w:space="0" w:color="auto"/>
        <w:bottom w:val="none" w:sz="0" w:space="0" w:color="auto"/>
        <w:right w:val="none" w:sz="0" w:space="0" w:color="auto"/>
      </w:divBdr>
    </w:div>
    <w:div w:id="979656359">
      <w:bodyDiv w:val="1"/>
      <w:marLeft w:val="0"/>
      <w:marRight w:val="0"/>
      <w:marTop w:val="0"/>
      <w:marBottom w:val="0"/>
      <w:divBdr>
        <w:top w:val="none" w:sz="0" w:space="0" w:color="auto"/>
        <w:left w:val="none" w:sz="0" w:space="0" w:color="auto"/>
        <w:bottom w:val="none" w:sz="0" w:space="0" w:color="auto"/>
        <w:right w:val="none" w:sz="0" w:space="0" w:color="auto"/>
      </w:divBdr>
      <w:divsChild>
        <w:div w:id="617374366">
          <w:marLeft w:val="0"/>
          <w:marRight w:val="0"/>
          <w:marTop w:val="0"/>
          <w:marBottom w:val="0"/>
          <w:divBdr>
            <w:top w:val="none" w:sz="0" w:space="0" w:color="auto"/>
            <w:left w:val="none" w:sz="0" w:space="0" w:color="auto"/>
            <w:bottom w:val="none" w:sz="0" w:space="0" w:color="auto"/>
            <w:right w:val="none" w:sz="0" w:space="0" w:color="auto"/>
          </w:divBdr>
        </w:div>
        <w:div w:id="1726754200">
          <w:marLeft w:val="0"/>
          <w:marRight w:val="0"/>
          <w:marTop w:val="0"/>
          <w:marBottom w:val="0"/>
          <w:divBdr>
            <w:top w:val="none" w:sz="0" w:space="0" w:color="auto"/>
            <w:left w:val="none" w:sz="0" w:space="0" w:color="auto"/>
            <w:bottom w:val="none" w:sz="0" w:space="0" w:color="auto"/>
            <w:right w:val="none" w:sz="0" w:space="0" w:color="auto"/>
          </w:divBdr>
        </w:div>
      </w:divsChild>
    </w:div>
    <w:div w:id="1013995314">
      <w:bodyDiv w:val="1"/>
      <w:marLeft w:val="0"/>
      <w:marRight w:val="0"/>
      <w:marTop w:val="0"/>
      <w:marBottom w:val="0"/>
      <w:divBdr>
        <w:top w:val="none" w:sz="0" w:space="0" w:color="auto"/>
        <w:left w:val="none" w:sz="0" w:space="0" w:color="auto"/>
        <w:bottom w:val="none" w:sz="0" w:space="0" w:color="auto"/>
        <w:right w:val="none" w:sz="0" w:space="0" w:color="auto"/>
      </w:divBdr>
    </w:div>
    <w:div w:id="1021972917">
      <w:bodyDiv w:val="1"/>
      <w:marLeft w:val="0"/>
      <w:marRight w:val="0"/>
      <w:marTop w:val="0"/>
      <w:marBottom w:val="0"/>
      <w:divBdr>
        <w:top w:val="none" w:sz="0" w:space="0" w:color="auto"/>
        <w:left w:val="none" w:sz="0" w:space="0" w:color="auto"/>
        <w:bottom w:val="none" w:sz="0" w:space="0" w:color="auto"/>
        <w:right w:val="none" w:sz="0" w:space="0" w:color="auto"/>
      </w:divBdr>
    </w:div>
    <w:div w:id="1048184752">
      <w:bodyDiv w:val="1"/>
      <w:marLeft w:val="0"/>
      <w:marRight w:val="0"/>
      <w:marTop w:val="0"/>
      <w:marBottom w:val="0"/>
      <w:divBdr>
        <w:top w:val="none" w:sz="0" w:space="0" w:color="auto"/>
        <w:left w:val="none" w:sz="0" w:space="0" w:color="auto"/>
        <w:bottom w:val="none" w:sz="0" w:space="0" w:color="auto"/>
        <w:right w:val="none" w:sz="0" w:space="0" w:color="auto"/>
      </w:divBdr>
      <w:divsChild>
        <w:div w:id="131481591">
          <w:marLeft w:val="0"/>
          <w:marRight w:val="0"/>
          <w:marTop w:val="0"/>
          <w:marBottom w:val="0"/>
          <w:divBdr>
            <w:top w:val="none" w:sz="0" w:space="0" w:color="auto"/>
            <w:left w:val="none" w:sz="0" w:space="0" w:color="auto"/>
            <w:bottom w:val="none" w:sz="0" w:space="0" w:color="auto"/>
            <w:right w:val="none" w:sz="0" w:space="0" w:color="auto"/>
          </w:divBdr>
        </w:div>
        <w:div w:id="9840918">
          <w:marLeft w:val="0"/>
          <w:marRight w:val="0"/>
          <w:marTop w:val="0"/>
          <w:marBottom w:val="0"/>
          <w:divBdr>
            <w:top w:val="none" w:sz="0" w:space="0" w:color="auto"/>
            <w:left w:val="none" w:sz="0" w:space="0" w:color="auto"/>
            <w:bottom w:val="none" w:sz="0" w:space="0" w:color="auto"/>
            <w:right w:val="none" w:sz="0" w:space="0" w:color="auto"/>
          </w:divBdr>
        </w:div>
        <w:div w:id="1042906589">
          <w:marLeft w:val="0"/>
          <w:marRight w:val="0"/>
          <w:marTop w:val="0"/>
          <w:marBottom w:val="0"/>
          <w:divBdr>
            <w:top w:val="none" w:sz="0" w:space="0" w:color="auto"/>
            <w:left w:val="none" w:sz="0" w:space="0" w:color="auto"/>
            <w:bottom w:val="none" w:sz="0" w:space="0" w:color="auto"/>
            <w:right w:val="none" w:sz="0" w:space="0" w:color="auto"/>
          </w:divBdr>
        </w:div>
        <w:div w:id="1109739188">
          <w:marLeft w:val="0"/>
          <w:marRight w:val="0"/>
          <w:marTop w:val="0"/>
          <w:marBottom w:val="0"/>
          <w:divBdr>
            <w:top w:val="none" w:sz="0" w:space="0" w:color="auto"/>
            <w:left w:val="none" w:sz="0" w:space="0" w:color="auto"/>
            <w:bottom w:val="none" w:sz="0" w:space="0" w:color="auto"/>
            <w:right w:val="none" w:sz="0" w:space="0" w:color="auto"/>
          </w:divBdr>
        </w:div>
        <w:div w:id="33778797">
          <w:marLeft w:val="0"/>
          <w:marRight w:val="0"/>
          <w:marTop w:val="0"/>
          <w:marBottom w:val="0"/>
          <w:divBdr>
            <w:top w:val="none" w:sz="0" w:space="0" w:color="auto"/>
            <w:left w:val="none" w:sz="0" w:space="0" w:color="auto"/>
            <w:bottom w:val="none" w:sz="0" w:space="0" w:color="auto"/>
            <w:right w:val="none" w:sz="0" w:space="0" w:color="auto"/>
          </w:divBdr>
        </w:div>
      </w:divsChild>
    </w:div>
    <w:div w:id="1052777043">
      <w:bodyDiv w:val="1"/>
      <w:marLeft w:val="0"/>
      <w:marRight w:val="0"/>
      <w:marTop w:val="0"/>
      <w:marBottom w:val="0"/>
      <w:divBdr>
        <w:top w:val="none" w:sz="0" w:space="0" w:color="auto"/>
        <w:left w:val="none" w:sz="0" w:space="0" w:color="auto"/>
        <w:bottom w:val="none" w:sz="0" w:space="0" w:color="auto"/>
        <w:right w:val="none" w:sz="0" w:space="0" w:color="auto"/>
      </w:divBdr>
    </w:div>
    <w:div w:id="1140221524">
      <w:bodyDiv w:val="1"/>
      <w:marLeft w:val="0"/>
      <w:marRight w:val="0"/>
      <w:marTop w:val="0"/>
      <w:marBottom w:val="0"/>
      <w:divBdr>
        <w:top w:val="none" w:sz="0" w:space="0" w:color="auto"/>
        <w:left w:val="none" w:sz="0" w:space="0" w:color="auto"/>
        <w:bottom w:val="none" w:sz="0" w:space="0" w:color="auto"/>
        <w:right w:val="none" w:sz="0" w:space="0" w:color="auto"/>
      </w:divBdr>
    </w:div>
    <w:div w:id="1449936188">
      <w:bodyDiv w:val="1"/>
      <w:marLeft w:val="0"/>
      <w:marRight w:val="0"/>
      <w:marTop w:val="0"/>
      <w:marBottom w:val="0"/>
      <w:divBdr>
        <w:top w:val="none" w:sz="0" w:space="0" w:color="auto"/>
        <w:left w:val="none" w:sz="0" w:space="0" w:color="auto"/>
        <w:bottom w:val="none" w:sz="0" w:space="0" w:color="auto"/>
        <w:right w:val="none" w:sz="0" w:space="0" w:color="auto"/>
      </w:divBdr>
    </w:div>
    <w:div w:id="1556813562">
      <w:bodyDiv w:val="1"/>
      <w:marLeft w:val="0"/>
      <w:marRight w:val="0"/>
      <w:marTop w:val="0"/>
      <w:marBottom w:val="0"/>
      <w:divBdr>
        <w:top w:val="none" w:sz="0" w:space="0" w:color="auto"/>
        <w:left w:val="none" w:sz="0" w:space="0" w:color="auto"/>
        <w:bottom w:val="none" w:sz="0" w:space="0" w:color="auto"/>
        <w:right w:val="none" w:sz="0" w:space="0" w:color="auto"/>
      </w:divBdr>
    </w:div>
    <w:div w:id="1574780967">
      <w:bodyDiv w:val="1"/>
      <w:marLeft w:val="0"/>
      <w:marRight w:val="0"/>
      <w:marTop w:val="0"/>
      <w:marBottom w:val="0"/>
      <w:divBdr>
        <w:top w:val="none" w:sz="0" w:space="0" w:color="auto"/>
        <w:left w:val="none" w:sz="0" w:space="0" w:color="auto"/>
        <w:bottom w:val="none" w:sz="0" w:space="0" w:color="auto"/>
        <w:right w:val="none" w:sz="0" w:space="0" w:color="auto"/>
      </w:divBdr>
    </w:div>
    <w:div w:id="1585525672">
      <w:bodyDiv w:val="1"/>
      <w:marLeft w:val="0"/>
      <w:marRight w:val="0"/>
      <w:marTop w:val="0"/>
      <w:marBottom w:val="0"/>
      <w:divBdr>
        <w:top w:val="none" w:sz="0" w:space="0" w:color="auto"/>
        <w:left w:val="none" w:sz="0" w:space="0" w:color="auto"/>
        <w:bottom w:val="none" w:sz="0" w:space="0" w:color="auto"/>
        <w:right w:val="none" w:sz="0" w:space="0" w:color="auto"/>
      </w:divBdr>
    </w:div>
    <w:div w:id="1644188521">
      <w:bodyDiv w:val="1"/>
      <w:marLeft w:val="0"/>
      <w:marRight w:val="0"/>
      <w:marTop w:val="0"/>
      <w:marBottom w:val="0"/>
      <w:divBdr>
        <w:top w:val="none" w:sz="0" w:space="0" w:color="auto"/>
        <w:left w:val="none" w:sz="0" w:space="0" w:color="auto"/>
        <w:bottom w:val="none" w:sz="0" w:space="0" w:color="auto"/>
        <w:right w:val="none" w:sz="0" w:space="0" w:color="auto"/>
      </w:divBdr>
    </w:div>
    <w:div w:id="1708984983">
      <w:bodyDiv w:val="1"/>
      <w:marLeft w:val="0"/>
      <w:marRight w:val="0"/>
      <w:marTop w:val="0"/>
      <w:marBottom w:val="0"/>
      <w:divBdr>
        <w:top w:val="none" w:sz="0" w:space="0" w:color="auto"/>
        <w:left w:val="none" w:sz="0" w:space="0" w:color="auto"/>
        <w:bottom w:val="none" w:sz="0" w:space="0" w:color="auto"/>
        <w:right w:val="none" w:sz="0" w:space="0" w:color="auto"/>
      </w:divBdr>
    </w:div>
    <w:div w:id="1829320334">
      <w:bodyDiv w:val="1"/>
      <w:marLeft w:val="0"/>
      <w:marRight w:val="0"/>
      <w:marTop w:val="0"/>
      <w:marBottom w:val="0"/>
      <w:divBdr>
        <w:top w:val="none" w:sz="0" w:space="0" w:color="auto"/>
        <w:left w:val="none" w:sz="0" w:space="0" w:color="auto"/>
        <w:bottom w:val="none" w:sz="0" w:space="0" w:color="auto"/>
        <w:right w:val="none" w:sz="0" w:space="0" w:color="auto"/>
      </w:divBdr>
    </w:div>
    <w:div w:id="1879587730">
      <w:bodyDiv w:val="1"/>
      <w:marLeft w:val="0"/>
      <w:marRight w:val="0"/>
      <w:marTop w:val="0"/>
      <w:marBottom w:val="0"/>
      <w:divBdr>
        <w:top w:val="none" w:sz="0" w:space="0" w:color="auto"/>
        <w:left w:val="none" w:sz="0" w:space="0" w:color="auto"/>
        <w:bottom w:val="none" w:sz="0" w:space="0" w:color="auto"/>
        <w:right w:val="none" w:sz="0" w:space="0" w:color="auto"/>
      </w:divBdr>
    </w:div>
    <w:div w:id="1880313951">
      <w:bodyDiv w:val="1"/>
      <w:marLeft w:val="0"/>
      <w:marRight w:val="0"/>
      <w:marTop w:val="0"/>
      <w:marBottom w:val="0"/>
      <w:divBdr>
        <w:top w:val="none" w:sz="0" w:space="0" w:color="auto"/>
        <w:left w:val="none" w:sz="0" w:space="0" w:color="auto"/>
        <w:bottom w:val="none" w:sz="0" w:space="0" w:color="auto"/>
        <w:right w:val="none" w:sz="0" w:space="0" w:color="auto"/>
      </w:divBdr>
    </w:div>
    <w:div w:id="1913000703">
      <w:bodyDiv w:val="1"/>
      <w:marLeft w:val="0"/>
      <w:marRight w:val="0"/>
      <w:marTop w:val="0"/>
      <w:marBottom w:val="0"/>
      <w:divBdr>
        <w:top w:val="none" w:sz="0" w:space="0" w:color="auto"/>
        <w:left w:val="none" w:sz="0" w:space="0" w:color="auto"/>
        <w:bottom w:val="none" w:sz="0" w:space="0" w:color="auto"/>
        <w:right w:val="none" w:sz="0" w:space="0" w:color="auto"/>
      </w:divBdr>
    </w:div>
    <w:div w:id="2077119829">
      <w:bodyDiv w:val="1"/>
      <w:marLeft w:val="0"/>
      <w:marRight w:val="0"/>
      <w:marTop w:val="0"/>
      <w:marBottom w:val="0"/>
      <w:divBdr>
        <w:top w:val="none" w:sz="0" w:space="0" w:color="auto"/>
        <w:left w:val="none" w:sz="0" w:space="0" w:color="auto"/>
        <w:bottom w:val="none" w:sz="0" w:space="0" w:color="auto"/>
        <w:right w:val="none" w:sz="0" w:space="0" w:color="auto"/>
      </w:divBdr>
      <w:divsChild>
        <w:div w:id="720246862">
          <w:marLeft w:val="0"/>
          <w:marRight w:val="0"/>
          <w:marTop w:val="0"/>
          <w:marBottom w:val="0"/>
          <w:divBdr>
            <w:top w:val="none" w:sz="0" w:space="0" w:color="auto"/>
            <w:left w:val="none" w:sz="0" w:space="0" w:color="auto"/>
            <w:bottom w:val="none" w:sz="0" w:space="0" w:color="auto"/>
            <w:right w:val="none" w:sz="0" w:space="0" w:color="auto"/>
          </w:divBdr>
        </w:div>
        <w:div w:id="1723408276">
          <w:marLeft w:val="0"/>
          <w:marRight w:val="0"/>
          <w:marTop w:val="0"/>
          <w:marBottom w:val="0"/>
          <w:divBdr>
            <w:top w:val="none" w:sz="0" w:space="0" w:color="auto"/>
            <w:left w:val="none" w:sz="0" w:space="0" w:color="auto"/>
            <w:bottom w:val="none" w:sz="0" w:space="0" w:color="auto"/>
            <w:right w:val="none" w:sz="0" w:space="0" w:color="auto"/>
          </w:divBdr>
        </w:div>
      </w:divsChild>
    </w:div>
    <w:div w:id="2122340743">
      <w:bodyDiv w:val="1"/>
      <w:marLeft w:val="0"/>
      <w:marRight w:val="0"/>
      <w:marTop w:val="0"/>
      <w:marBottom w:val="0"/>
      <w:divBdr>
        <w:top w:val="none" w:sz="0" w:space="0" w:color="auto"/>
        <w:left w:val="none" w:sz="0" w:space="0" w:color="auto"/>
        <w:bottom w:val="none" w:sz="0" w:space="0" w:color="auto"/>
        <w:right w:val="none" w:sz="0" w:space="0" w:color="auto"/>
      </w:divBdr>
      <w:divsChild>
        <w:div w:id="2134909373">
          <w:marLeft w:val="0"/>
          <w:marRight w:val="0"/>
          <w:marTop w:val="0"/>
          <w:marBottom w:val="0"/>
          <w:divBdr>
            <w:top w:val="none" w:sz="0" w:space="0" w:color="auto"/>
            <w:left w:val="none" w:sz="0" w:space="0" w:color="auto"/>
            <w:bottom w:val="none" w:sz="0" w:space="0" w:color="auto"/>
            <w:right w:val="none" w:sz="0" w:space="0" w:color="auto"/>
          </w:divBdr>
        </w:div>
        <w:div w:id="153087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learingcentre.ru/catalog/021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93AE3-7D7B-4F73-A78F-02C2DCDD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7161</TotalTime>
  <Pages>19</Pages>
  <Words>9773</Words>
  <Characters>55708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NPO VMI</Company>
  <LinksUpToDate>false</LinksUpToDate>
  <CharactersWithSpaces>65351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ConsultantPlus</dc:creator>
  <cp:lastModifiedBy>Мухаметшина А.Е.</cp:lastModifiedBy>
  <cp:revision>972</cp:revision>
  <cp:lastPrinted>2015-10-26T12:29:00Z</cp:lastPrinted>
  <dcterms:created xsi:type="dcterms:W3CDTF">2020-10-30T13:00:00Z</dcterms:created>
  <dcterms:modified xsi:type="dcterms:W3CDTF">2025-10-17T13:03:00Z</dcterms:modified>
</cp:coreProperties>
</file>