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06" w:rsidRPr="00EE2B06" w:rsidRDefault="00EE2B06" w:rsidP="00EE2B0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EE2B06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E2B06" w:rsidRPr="00EE2B06" w:rsidTr="00EE2B06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hAnsi="Times New Roman"/>
                <w:sz w:val="20"/>
                <w:szCs w:val="20"/>
                <w:lang w:eastAsia="ru-RU"/>
              </w:rPr>
              <w:t>№ 123789240</w:t>
            </w: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B06" w:rsidRPr="00EE2B06" w:rsidTr="00EE2B06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B06" w:rsidRPr="00EE2B06" w:rsidTr="00EE2B06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hAnsi="Times New Roman"/>
                <w:sz w:val="20"/>
                <w:szCs w:val="20"/>
                <w:lang w:eastAsia="ru-RU"/>
              </w:rPr>
              <w:t>№ 123760918</w:t>
            </w: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B06" w:rsidRPr="00EE2B06" w:rsidTr="00EE2B06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B06" w:rsidRPr="00EE2B06" w:rsidTr="00EE2B06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B06" w:rsidRPr="00EE2B06" w:rsidRDefault="00EE2B06" w:rsidP="00EE2B0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2B06" w:rsidRPr="00EE2B06" w:rsidRDefault="00EE2B06" w:rsidP="00EE2B0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E2B0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"Озон" ИНН 3900045916 (акции 1-01-17182-A / ISIN RU000A10CW95, 1-02-17182-A / ISIN RU000A10DA25, 1-01-17182-A-002D / ISIN RU000A10EG36)</w:t>
      </w:r>
    </w:p>
    <w:tbl>
      <w:tblPr>
        <w:tblW w:w="5013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1"/>
        <w:gridCol w:w="2930"/>
        <w:gridCol w:w="578"/>
        <w:gridCol w:w="578"/>
        <w:gridCol w:w="14"/>
        <w:gridCol w:w="861"/>
        <w:gridCol w:w="69"/>
        <w:gridCol w:w="1355"/>
        <w:gridCol w:w="1380"/>
        <w:gridCol w:w="1137"/>
        <w:gridCol w:w="28"/>
        <w:gridCol w:w="14"/>
        <w:gridCol w:w="28"/>
      </w:tblGrid>
      <w:tr w:rsidR="00EE2B06" w:rsidRPr="00EE2B06" w:rsidTr="001C4B08">
        <w:trPr>
          <w:gridAfter w:val="1"/>
          <w:wAfter w:w="7" w:type="dxa"/>
          <w:tblHeader/>
          <w:tblCellSpacing w:w="7" w:type="dxa"/>
        </w:trPr>
        <w:tc>
          <w:tcPr>
            <w:tcW w:w="11064" w:type="dxa"/>
            <w:gridSpan w:val="12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5628" w:type="dxa"/>
            <w:gridSpan w:val="3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2" w:type="dxa"/>
            <w:gridSpan w:val="9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5628" w:type="dxa"/>
            <w:gridSpan w:val="3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2" w:type="dxa"/>
            <w:gridSpan w:val="9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5628" w:type="dxa"/>
            <w:gridSpan w:val="3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2" w:type="dxa"/>
            <w:gridSpan w:val="9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5628" w:type="dxa"/>
            <w:gridSpan w:val="3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2" w:type="dxa"/>
            <w:gridSpan w:val="9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 11:30 МСК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5628" w:type="dxa"/>
            <w:gridSpan w:val="3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422" w:type="dxa"/>
            <w:gridSpan w:val="9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2026 г.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5628" w:type="dxa"/>
            <w:gridSpan w:val="3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5422" w:type="dxa"/>
            <w:gridSpan w:val="9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5628" w:type="dxa"/>
            <w:gridSpan w:val="3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5422" w:type="dxa"/>
            <w:gridSpan w:val="9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проезд Озерный, дом 2, Mercure K</w:t>
            </w: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aliningrad Centre, конференц-зал</w:t>
            </w:r>
          </w:p>
        </w:tc>
      </w:tr>
      <w:tr w:rsidR="00EE2B06" w:rsidRPr="00EE2B06" w:rsidTr="001C4B08">
        <w:trPr>
          <w:gridAfter w:val="1"/>
          <w:wAfter w:w="7" w:type="dxa"/>
          <w:tblHeader/>
          <w:tblCellSpacing w:w="7" w:type="dxa"/>
        </w:trPr>
        <w:tc>
          <w:tcPr>
            <w:tcW w:w="11064" w:type="dxa"/>
            <w:gridSpan w:val="12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131B8" w:rsidRPr="00EE2B06" w:rsidTr="001C4B08">
        <w:trPr>
          <w:gridAfter w:val="1"/>
          <w:wAfter w:w="7" w:type="dxa"/>
          <w:tblHeader/>
          <w:tblCellSpacing w:w="7" w:type="dxa"/>
        </w:trPr>
        <w:tc>
          <w:tcPr>
            <w:tcW w:w="2120" w:type="dxa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916" w:type="dxa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2" w:type="dxa"/>
            <w:gridSpan w:val="2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61" w:type="dxa"/>
            <w:gridSpan w:val="2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10" w:type="dxa"/>
            <w:gridSpan w:val="2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66" w:type="dxa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123" w:type="dxa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8" w:type="dxa"/>
            <w:gridSpan w:val="2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1B8" w:rsidRPr="00EE2B06" w:rsidTr="001C4B08">
        <w:trPr>
          <w:gridAfter w:val="1"/>
          <w:wAfter w:w="7" w:type="dxa"/>
          <w:tblCellSpacing w:w="7" w:type="dxa"/>
        </w:trPr>
        <w:tc>
          <w:tcPr>
            <w:tcW w:w="2120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1156868X86573</w:t>
            </w:r>
          </w:p>
        </w:tc>
        <w:tc>
          <w:tcPr>
            <w:tcW w:w="2916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142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861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1123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28" w:type="dxa"/>
            <w:gridSpan w:val="2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1B8" w:rsidRPr="00EE2B06" w:rsidTr="001C4B08">
        <w:trPr>
          <w:gridAfter w:val="1"/>
          <w:wAfter w:w="7" w:type="dxa"/>
          <w:tblCellSpacing w:w="7" w:type="dxa"/>
        </w:trPr>
        <w:tc>
          <w:tcPr>
            <w:tcW w:w="2120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1156868X86574</w:t>
            </w:r>
          </w:p>
        </w:tc>
        <w:tc>
          <w:tcPr>
            <w:tcW w:w="2916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142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861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1123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28" w:type="dxa"/>
            <w:gridSpan w:val="2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1B8" w:rsidRPr="00EE2B06" w:rsidTr="001C4B08">
        <w:trPr>
          <w:gridAfter w:val="1"/>
          <w:wAfter w:w="7" w:type="dxa"/>
          <w:tblCellSpacing w:w="7" w:type="dxa"/>
        </w:trPr>
        <w:tc>
          <w:tcPr>
            <w:tcW w:w="2120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1156868X88364</w:t>
            </w:r>
          </w:p>
        </w:tc>
        <w:tc>
          <w:tcPr>
            <w:tcW w:w="2916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142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1-01-17182-A-002D</w:t>
            </w:r>
          </w:p>
        </w:tc>
        <w:tc>
          <w:tcPr>
            <w:tcW w:w="861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1123" w:type="dxa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28" w:type="dxa"/>
            <w:gridSpan w:val="2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B06" w:rsidRPr="00EE2B06" w:rsidTr="00D131B8">
        <w:trPr>
          <w:gridAfter w:val="2"/>
          <w:wAfter w:w="21" w:type="dxa"/>
          <w:tblHeader/>
          <w:tblCellSpacing w:w="7" w:type="dxa"/>
        </w:trPr>
        <w:tc>
          <w:tcPr>
            <w:tcW w:w="11050" w:type="dxa"/>
            <w:gridSpan w:val="11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E2B06" w:rsidRPr="00EE2B06" w:rsidTr="00D131B8">
        <w:trPr>
          <w:gridAfter w:val="2"/>
          <w:wAfter w:w="21" w:type="dxa"/>
          <w:tblHeader/>
          <w:tblCellSpacing w:w="7" w:type="dxa"/>
        </w:trPr>
        <w:tc>
          <w:tcPr>
            <w:tcW w:w="6220" w:type="dxa"/>
            <w:gridSpan w:val="5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4816" w:type="dxa"/>
            <w:gridSpan w:val="6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E2B06" w:rsidRPr="00EE2B06" w:rsidTr="001C4B08">
        <w:trPr>
          <w:tblCellSpacing w:w="7" w:type="dxa"/>
        </w:trPr>
        <w:tc>
          <w:tcPr>
            <w:tcW w:w="6220" w:type="dxa"/>
            <w:gridSpan w:val="5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</w:t>
            </w:r>
          </w:p>
        </w:tc>
        <w:tc>
          <w:tcPr>
            <w:tcW w:w="21" w:type="dxa"/>
            <w:gridSpan w:val="2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B06" w:rsidRPr="00EE2B06" w:rsidTr="001C4B08">
        <w:trPr>
          <w:gridAfter w:val="1"/>
          <w:wAfter w:w="7" w:type="dxa"/>
          <w:tblHeader/>
          <w:tblCellSpacing w:w="7" w:type="dxa"/>
        </w:trPr>
        <w:tc>
          <w:tcPr>
            <w:tcW w:w="11064" w:type="dxa"/>
            <w:gridSpan w:val="12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7150" w:type="dxa"/>
            <w:gridSpan w:val="7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900" w:type="dxa"/>
            <w:gridSpan w:val="5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2026 г. 20:59 МСК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7150" w:type="dxa"/>
            <w:gridSpan w:val="7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900" w:type="dxa"/>
            <w:gridSpan w:val="5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2026 г. 00:59 МСК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11064" w:type="dxa"/>
            <w:gridSpan w:val="12"/>
            <w:shd w:val="clear" w:color="auto" w:fill="BBBBBB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7150" w:type="dxa"/>
            <w:gridSpan w:val="7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900" w:type="dxa"/>
            <w:gridSpan w:val="5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7150" w:type="dxa"/>
            <w:gridSpan w:val="7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900" w:type="dxa"/>
            <w:gridSpan w:val="5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7150" w:type="dxa"/>
            <w:gridSpan w:val="7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900" w:type="dxa"/>
            <w:gridSpan w:val="5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236006, Калининградская обл., г.о. город Калин</w:t>
            </w: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инград, город Калининград, ул. Октябрьская, д. 29А, помещ. 1</w:t>
            </w:r>
          </w:p>
        </w:tc>
      </w:tr>
      <w:tr w:rsidR="00EE2B06" w:rsidRPr="00EE2B06" w:rsidTr="001C4B08">
        <w:trPr>
          <w:gridAfter w:val="1"/>
          <w:wAfter w:w="7" w:type="dxa"/>
          <w:tblCellSpacing w:w="7" w:type="dxa"/>
        </w:trPr>
        <w:tc>
          <w:tcPr>
            <w:tcW w:w="7150" w:type="dxa"/>
            <w:gridSpan w:val="7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900" w:type="dxa"/>
            <w:gridSpan w:val="5"/>
            <w:shd w:val="clear" w:color="auto" w:fill="EEEEEE"/>
            <w:vAlign w:val="center"/>
            <w:hideMark/>
          </w:tcPr>
          <w:p w:rsidR="00EE2B06" w:rsidRPr="00EE2B06" w:rsidRDefault="00EE2B06" w:rsidP="00EE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online.e-vote.ru/</w:t>
            </w:r>
          </w:p>
        </w:tc>
      </w:tr>
    </w:tbl>
    <w:p w:rsidR="00EE2B06" w:rsidRPr="00EE2B06" w:rsidRDefault="00EE2B06" w:rsidP="00D131B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B0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EE2B06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Общества за 2025 год.2. Об утверждении консолидированной финансовой отчетности Общества, подготовленной в соответствии с Международными стандартами финансовой отчетности, за 2025 год.</w:t>
      </w:r>
      <w:r w:rsidRPr="00EE2B06">
        <w:rPr>
          <w:rFonts w:ascii="Times New Roman" w:eastAsia="Times New Roman" w:hAnsi="Times New Roman"/>
          <w:sz w:val="20"/>
          <w:szCs w:val="20"/>
          <w:lang w:eastAsia="ru-RU"/>
        </w:rPr>
        <w:br/>
        <w:t>3. Об утверждении отдельной финансовой отчетности Общества, подготовленной в</w:t>
      </w:r>
      <w:r w:rsidR="00D131B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E2B06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Международными стандартами финансовой отчетности, за 2025 год.</w:t>
      </w:r>
      <w:r w:rsidR="00D131B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E2B06">
        <w:rPr>
          <w:rFonts w:ascii="Times New Roman" w:eastAsia="Times New Roman" w:hAnsi="Times New Roman"/>
          <w:sz w:val="20"/>
          <w:szCs w:val="20"/>
          <w:lang w:eastAsia="ru-RU"/>
        </w:rPr>
        <w:t>4. Об утверждении бухгалтерской (финансовой) отчетности Общества за 2025 год.5. Об утверждении консолидированной финансовой отчетности Озон Холдингс Пи Эл Си (Ozon Holdings PLC) за годы, закончившиеся 31 декабря 2024, 2023 и 2022 гг., составленной в соответствии с Международными стандартами финансовой</w:t>
      </w:r>
      <w:r w:rsidRPr="00EE2B0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отчетности на английском языке.6. Об утверждении консолидированной финансовой отчетности Озон Холдингс Пи Эл Си (Ozon Holdings PLC) за годы, закончившиеся 31 декабря 2024, 2023 и 2022 гг., составленной в соответствии с Международными стандартами финансовой отчетности на русском языке.7. Об утверждении консолидированной отчетности Озон Холдингс Пи Эл Си (Ozon Holdings PLC) за год, закончившийся 31 декабря 2024, составленной в соответствии с Международными стандартами финансовой отчетности, принятыми в Европейском Союзе, а также в соответствии с законодательством Республики Кипр.8. Об утверждении отдельной финансовой отчетности Озон Холдингс Пи Эл Си (Ozon Holdings PLC) за год, </w:t>
      </w:r>
      <w:r w:rsidRPr="00EE2B0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закончившийся 31 декабря 2024, составленной в соответствии с Международными стандартами финансовой отчетности, принятыми в Европейском Союзе, а также в соответствии с законодательством Республики Кипр.9. О распределении прибыли и выплате (объявлении) дивидендов по результатам 2025 года.10. О назначении аудиторской организации Общества. </w:t>
      </w:r>
    </w:p>
    <w:p w:rsidR="00EE2B06" w:rsidRPr="00EE2B06" w:rsidRDefault="00EE2B06" w:rsidP="00EE2B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B06">
        <w:rPr>
          <w:rFonts w:ascii="Times New Roman" w:eastAsia="Times New Roman" w:hAnsi="Times New Roman"/>
          <w:sz w:val="20"/>
          <w:szCs w:val="20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EE2B06" w:rsidRDefault="00EE2B06" w:rsidP="00EE2B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B0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E2B0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E2B06" w:rsidRDefault="00EE2B06" w:rsidP="00EE2B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E2B06" w:rsidRPr="00987193" w:rsidRDefault="00EE2B06" w:rsidP="00EE2B06"/>
    <w:p w:rsidR="00EE2B06" w:rsidRPr="00EE2B06" w:rsidRDefault="00EE2B06" w:rsidP="00EE2B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E2B06" w:rsidRPr="00EE2B06" w:rsidSect="00EE2B0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2B0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4B08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87670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1B8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2B06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2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2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B0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E2B0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E2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B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E2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2B0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E2B0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3d3acba6cab4d50bb3fa06f1818b5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2026-04-23T11:43:00Z</dcterms:created>
  <dcterms:modified xsi:type="dcterms:W3CDTF">2026-04-23T11:47:00Z</dcterms:modified>
</cp:coreProperties>
</file>