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90" w:rsidRPr="00A83390" w:rsidRDefault="00A83390" w:rsidP="00A83390">
      <w:pPr>
        <w:pStyle w:val="a5"/>
        <w:rPr>
          <w:rFonts w:ascii="Times New Roman" w:hAnsi="Times New Roman"/>
          <w:sz w:val="20"/>
          <w:szCs w:val="20"/>
        </w:rPr>
      </w:pPr>
      <w:r w:rsidRPr="00A83390">
        <w:rPr>
          <w:rFonts w:ascii="Times New Roman" w:hAnsi="Times New Roman"/>
          <w:sz w:val="20"/>
          <w:szCs w:val="20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A83390" w:rsidRPr="00A83390" w:rsidTr="00A83390">
        <w:trPr>
          <w:tblCellSpacing w:w="7" w:type="dxa"/>
        </w:trPr>
        <w:tc>
          <w:tcPr>
            <w:tcW w:w="0" w:type="auto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№ 105961111</w:t>
            </w:r>
          </w:p>
        </w:tc>
        <w:tc>
          <w:tcPr>
            <w:tcW w:w="0" w:type="auto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3390" w:rsidRPr="00A83390" w:rsidTr="00A83390">
        <w:trPr>
          <w:tblCellSpacing w:w="7" w:type="dxa"/>
        </w:trPr>
        <w:tc>
          <w:tcPr>
            <w:tcW w:w="0" w:type="auto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3390" w:rsidRPr="00A83390" w:rsidTr="00A83390">
        <w:trPr>
          <w:tblCellSpacing w:w="7" w:type="dxa"/>
        </w:trPr>
        <w:tc>
          <w:tcPr>
            <w:tcW w:w="0" w:type="auto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№ 105923268</w:t>
            </w:r>
          </w:p>
        </w:tc>
        <w:tc>
          <w:tcPr>
            <w:tcW w:w="0" w:type="auto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3390" w:rsidRPr="00A83390" w:rsidTr="00A83390">
        <w:trPr>
          <w:tblCellSpacing w:w="7" w:type="dxa"/>
        </w:trPr>
        <w:tc>
          <w:tcPr>
            <w:tcW w:w="0" w:type="auto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3390" w:rsidRPr="00A83390" w:rsidTr="00A83390">
        <w:trPr>
          <w:tblCellSpacing w:w="7" w:type="dxa"/>
        </w:trPr>
        <w:tc>
          <w:tcPr>
            <w:tcW w:w="0" w:type="auto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3390" w:rsidRPr="00A83390" w:rsidRDefault="00A83390" w:rsidP="00A83390">
      <w:pPr>
        <w:pStyle w:val="a5"/>
        <w:rPr>
          <w:rFonts w:ascii="Times New Roman" w:hAnsi="Times New Roman"/>
          <w:b/>
          <w:sz w:val="20"/>
          <w:szCs w:val="20"/>
        </w:rPr>
      </w:pPr>
      <w:r w:rsidRPr="00A83390">
        <w:rPr>
          <w:rFonts w:ascii="Times New Roman" w:hAnsi="Times New Roman"/>
          <w:b/>
          <w:sz w:val="20"/>
          <w:szCs w:val="20"/>
        </w:rPr>
        <w:t>(BPUT) О корпоративном действии "Досрочное погашение ценных бумаг или приобретение их эмитентом"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6"/>
        <w:gridCol w:w="1015"/>
        <w:gridCol w:w="982"/>
        <w:gridCol w:w="756"/>
        <w:gridCol w:w="122"/>
        <w:gridCol w:w="398"/>
        <w:gridCol w:w="1072"/>
        <w:gridCol w:w="1479"/>
        <w:gridCol w:w="567"/>
        <w:gridCol w:w="1418"/>
        <w:gridCol w:w="1289"/>
        <w:gridCol w:w="992"/>
      </w:tblGrid>
      <w:tr w:rsidR="00A83390" w:rsidRPr="00A83390" w:rsidTr="00A83390">
        <w:trPr>
          <w:tblHeader/>
          <w:tblCellSpacing w:w="7" w:type="dxa"/>
        </w:trPr>
        <w:tc>
          <w:tcPr>
            <w:tcW w:w="11198" w:type="dxa"/>
            <w:gridSpan w:val="12"/>
            <w:shd w:val="clear" w:color="auto" w:fill="BBBBBB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3390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3990" w:type="dxa"/>
            <w:gridSpan w:val="5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7194" w:type="dxa"/>
            <w:gridSpan w:val="7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1007411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3990" w:type="dxa"/>
            <w:gridSpan w:val="5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7194" w:type="dxa"/>
            <w:gridSpan w:val="7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BPUT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3990" w:type="dxa"/>
            <w:gridSpan w:val="5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7194" w:type="dxa"/>
            <w:gridSpan w:val="7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Досрочное погашение ценных бумаг или приобретение их эмитентом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3990" w:type="dxa"/>
            <w:gridSpan w:val="5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Вид корпоративного действия</w:t>
            </w:r>
          </w:p>
        </w:tc>
        <w:tc>
          <w:tcPr>
            <w:tcW w:w="7194" w:type="dxa"/>
            <w:gridSpan w:val="7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Досрочное погашение облигаций по требованию их владельцев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3990" w:type="dxa"/>
            <w:gridSpan w:val="5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Статус обработки</w:t>
            </w:r>
          </w:p>
        </w:tc>
        <w:tc>
          <w:tcPr>
            <w:tcW w:w="7194" w:type="dxa"/>
            <w:gridSpan w:val="7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Полная информация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3990" w:type="dxa"/>
            <w:gridSpan w:val="5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7194" w:type="dxa"/>
            <w:gridSpan w:val="7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25 марта 2025 г.</w:t>
            </w:r>
          </w:p>
        </w:tc>
      </w:tr>
      <w:tr w:rsidR="00A83390" w:rsidRPr="00A83390" w:rsidTr="00A83390">
        <w:trPr>
          <w:tblHeader/>
          <w:tblCellSpacing w:w="7" w:type="dxa"/>
        </w:trPr>
        <w:tc>
          <w:tcPr>
            <w:tcW w:w="11198" w:type="dxa"/>
            <w:gridSpan w:val="12"/>
            <w:shd w:val="clear" w:color="auto" w:fill="BBBBBB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3390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A83390" w:rsidRPr="00A83390" w:rsidTr="00A83390">
        <w:trPr>
          <w:tblHeader/>
          <w:tblCellSpacing w:w="7" w:type="dxa"/>
        </w:trPr>
        <w:tc>
          <w:tcPr>
            <w:tcW w:w="1115" w:type="dxa"/>
            <w:shd w:val="clear" w:color="auto" w:fill="BBBBBB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3390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1001" w:type="dxa"/>
            <w:shd w:val="clear" w:color="auto" w:fill="BBBBBB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3390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968" w:type="dxa"/>
            <w:shd w:val="clear" w:color="auto" w:fill="BBBBBB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3390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3390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1058" w:type="dxa"/>
            <w:shd w:val="clear" w:color="auto" w:fill="BBBBBB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3390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465" w:type="dxa"/>
            <w:shd w:val="clear" w:color="auto" w:fill="BBBBBB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3390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3390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3390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3390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3390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1115" w:type="dxa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1007411X82579</w:t>
            </w:r>
          </w:p>
        </w:tc>
        <w:tc>
          <w:tcPr>
            <w:tcW w:w="1001" w:type="dxa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"Совкомбанк"</w:t>
            </w:r>
          </w:p>
        </w:tc>
        <w:tc>
          <w:tcPr>
            <w:tcW w:w="968" w:type="dxa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4B02-09-00963-B-001P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21 октября 2024 г.</w:t>
            </w:r>
          </w:p>
        </w:tc>
        <w:tc>
          <w:tcPr>
            <w:tcW w:w="1058" w:type="dxa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1465" w:type="dxa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RU000A109VL8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RU000A109VL8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A83390" w:rsidRPr="00A83390" w:rsidTr="00A83390">
        <w:trPr>
          <w:tblHeader/>
          <w:tblCellSpacing w:w="7" w:type="dxa"/>
        </w:trPr>
        <w:tc>
          <w:tcPr>
            <w:tcW w:w="11198" w:type="dxa"/>
            <w:gridSpan w:val="12"/>
            <w:shd w:val="clear" w:color="auto" w:fill="BBBBBB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3390">
              <w:rPr>
                <w:rFonts w:ascii="Times New Roman" w:hAnsi="Times New Roman"/>
                <w:b/>
                <w:bCs/>
                <w:sz w:val="20"/>
                <w:szCs w:val="20"/>
              </w:rPr>
              <w:t>Детали корпоративного действия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3868" w:type="dxa"/>
            <w:gridSpan w:val="4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Способ подачи инструкций (требований)</w:t>
            </w:r>
          </w:p>
        </w:tc>
        <w:tc>
          <w:tcPr>
            <w:tcW w:w="7316" w:type="dxa"/>
            <w:gridSpan w:val="8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Подача требований через депозитарий с блокированием ценных бумаг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3868" w:type="dxa"/>
            <w:gridSpan w:val="4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Способ удовлетворения инструкций (требований)</w:t>
            </w:r>
          </w:p>
        </w:tc>
        <w:tc>
          <w:tcPr>
            <w:tcW w:w="7316" w:type="dxa"/>
            <w:gridSpan w:val="8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3868" w:type="dxa"/>
            <w:gridSpan w:val="4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316" w:type="dxa"/>
            <w:gridSpan w:val="8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3868" w:type="dxa"/>
            <w:gridSpan w:val="4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 xml:space="preserve">Накопленный купонный доход (НКД) </w:t>
            </w:r>
          </w:p>
        </w:tc>
        <w:tc>
          <w:tcPr>
            <w:tcW w:w="7316" w:type="dxa"/>
            <w:gridSpan w:val="8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11.34 RUB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3868" w:type="dxa"/>
            <w:gridSpan w:val="4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Цена приобретения/досрочного погашения с учетом НКД</w:t>
            </w:r>
          </w:p>
        </w:tc>
        <w:tc>
          <w:tcPr>
            <w:tcW w:w="7316" w:type="dxa"/>
            <w:gridSpan w:val="8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1011.34 RUB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3868" w:type="dxa"/>
            <w:gridSpan w:val="4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7316" w:type="dxa"/>
            <w:gridSpan w:val="8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3868" w:type="dxa"/>
            <w:gridSpan w:val="4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Описание порядка определения цены</w:t>
            </w:r>
          </w:p>
        </w:tc>
        <w:tc>
          <w:tcPr>
            <w:tcW w:w="7316" w:type="dxa"/>
            <w:gridSpan w:val="8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3868" w:type="dxa"/>
            <w:gridSpan w:val="4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Период действия предложения</w:t>
            </w:r>
          </w:p>
        </w:tc>
        <w:tc>
          <w:tcPr>
            <w:tcW w:w="7316" w:type="dxa"/>
            <w:gridSpan w:val="8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с 13 февраля 2025 г. по 14 марта 2025 г.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3868" w:type="dxa"/>
            <w:gridSpan w:val="4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316" w:type="dxa"/>
            <w:gridSpan w:val="8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14 марта 2025 г.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3868" w:type="dxa"/>
            <w:gridSpan w:val="4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316" w:type="dxa"/>
            <w:gridSpan w:val="8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14 марта 2025 г. 16:00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3868" w:type="dxa"/>
            <w:gridSpan w:val="4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316" w:type="dxa"/>
            <w:gridSpan w:val="8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Любое количество</w:t>
            </w:r>
          </w:p>
        </w:tc>
      </w:tr>
      <w:tr w:rsidR="00A83390" w:rsidRPr="00A83390" w:rsidTr="00A83390">
        <w:trPr>
          <w:tblCellSpacing w:w="7" w:type="dxa"/>
        </w:trPr>
        <w:tc>
          <w:tcPr>
            <w:tcW w:w="3868" w:type="dxa"/>
            <w:gridSpan w:val="4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>Основание возникновения КД</w:t>
            </w:r>
          </w:p>
        </w:tc>
        <w:tc>
          <w:tcPr>
            <w:tcW w:w="7316" w:type="dxa"/>
            <w:gridSpan w:val="8"/>
            <w:shd w:val="clear" w:color="auto" w:fill="EEEEEE"/>
            <w:vAlign w:val="center"/>
            <w:hideMark/>
          </w:tcPr>
          <w:p w:rsidR="00A83390" w:rsidRPr="00A83390" w:rsidRDefault="00A83390" w:rsidP="00A833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83390">
              <w:rPr>
                <w:rFonts w:ascii="Times New Roman" w:hAnsi="Times New Roman"/>
                <w:sz w:val="20"/>
                <w:szCs w:val="20"/>
              </w:rPr>
              <w:t xml:space="preserve">Решение о реорганизации ПАО «Совкомбанк» (далее также - «Банк») в форме присоединения к нему Акционерного общества «Хоум Капитал», Общества с ограниченной ответственностью «Хоум Кредит энд Финанс Банк», Акционерного общества «Корпорация «Монтажспецстрой», принятое Общим собранием акционеров ПАО "Совкомбанк" 28.01.2025, протокол №1 от 28.01.2025. 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«Совкомбанк» в журнале «Вестник государственной регистрации» сообщения о принятом решении о реорганизации Банка. Сообщение о реорганизации ПАО «Совкомбанк» опубликовано в журнале «Вестник государственной регистрации» (печатное издание, предназначенное для опубликования сведений о государственной регистрации юридических лиц) № 6(1029) от 12.02.2025 / 752 Право владельцев Биржевых облигаций - юридических лиц требовать досрочного погашения </w:t>
            </w:r>
            <w:r w:rsidRPr="00A83390">
              <w:rPr>
                <w:rFonts w:ascii="Times New Roman" w:hAnsi="Times New Roman"/>
                <w:sz w:val="20"/>
                <w:szCs w:val="20"/>
              </w:rPr>
              <w:lastRenderedPageBreak/>
              <w:t>принадлежащих им Биржевых облигаций в связи с реорганизацией ПАО «Совкомбанк» эмиссионными документами по Биржевым облигациям не предусмотрено, и, в связи с этим, на основании ст. 23.5 Федерального закона от 02.12.1990 № 395-1 «О банках и банковской деятельности» такое право у указанных лиц не возникает.</w:t>
            </w:r>
          </w:p>
        </w:tc>
      </w:tr>
    </w:tbl>
    <w:p w:rsidR="00A83390" w:rsidRPr="00A83390" w:rsidRDefault="00A83390" w:rsidP="00A83390">
      <w:pPr>
        <w:pStyle w:val="a5"/>
        <w:rPr>
          <w:rFonts w:ascii="Times New Roman" w:hAnsi="Times New Roman"/>
          <w:sz w:val="20"/>
          <w:szCs w:val="20"/>
        </w:rPr>
      </w:pPr>
    </w:p>
    <w:p w:rsidR="00A83390" w:rsidRPr="00A83390" w:rsidRDefault="00A83390" w:rsidP="00A83390">
      <w:pPr>
        <w:pStyle w:val="a5"/>
        <w:rPr>
          <w:rFonts w:ascii="Times New Roman" w:hAnsi="Times New Roman"/>
          <w:sz w:val="20"/>
          <w:szCs w:val="20"/>
        </w:rPr>
      </w:pPr>
      <w:r w:rsidRPr="00A83390">
        <w:rPr>
          <w:rFonts w:ascii="Times New Roman" w:hAnsi="Times New Roman"/>
          <w:sz w:val="20"/>
          <w:szCs w:val="20"/>
        </w:rPr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A83390" w:rsidRPr="00A83390" w:rsidRDefault="00A83390" w:rsidP="00A83390">
      <w:pPr>
        <w:pStyle w:val="a5"/>
        <w:rPr>
          <w:rFonts w:ascii="Times New Roman" w:hAnsi="Times New Roman"/>
          <w:sz w:val="20"/>
          <w:szCs w:val="20"/>
        </w:rPr>
      </w:pPr>
      <w:r w:rsidRPr="00A83390">
        <w:rPr>
          <w:rFonts w:ascii="Times New Roman" w:hAnsi="Times New Roman"/>
          <w:sz w:val="20"/>
          <w:szCs w:val="20"/>
        </w:rPr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A83390" w:rsidRDefault="00A83390" w:rsidP="00A83390">
      <w:pPr>
        <w:pStyle w:val="a5"/>
        <w:rPr>
          <w:rFonts w:ascii="Times New Roman" w:hAnsi="Times New Roman"/>
          <w:sz w:val="20"/>
          <w:szCs w:val="20"/>
        </w:rPr>
      </w:pPr>
    </w:p>
    <w:p w:rsidR="00A83390" w:rsidRDefault="00A83390" w:rsidP="00A83390">
      <w:pPr>
        <w:pStyle w:val="a5"/>
        <w:rPr>
          <w:rFonts w:ascii="Times New Roman" w:hAnsi="Times New Roman"/>
          <w:sz w:val="20"/>
          <w:szCs w:val="20"/>
        </w:rPr>
      </w:pPr>
      <w:r w:rsidRPr="00A83390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A83390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A83390" w:rsidRDefault="00A83390" w:rsidP="00A83390"/>
    <w:p w:rsidR="00A83390" w:rsidRPr="00E05075" w:rsidRDefault="00A83390" w:rsidP="00A833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51D9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83390" w:rsidRPr="003841F7" w:rsidRDefault="00A83390" w:rsidP="00A8339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3390" w:rsidRPr="00166349" w:rsidRDefault="00A83390" w:rsidP="00A833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3390" w:rsidRPr="00E551D9" w:rsidRDefault="00A83390" w:rsidP="00A83390"/>
    <w:p w:rsidR="00A83390" w:rsidRPr="00A83390" w:rsidRDefault="00A83390" w:rsidP="00A83390"/>
    <w:sectPr w:rsidR="00A83390" w:rsidRPr="00A83390" w:rsidSect="00A83390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08F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4C1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3390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8F5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460A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3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D0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8F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D0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08F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D0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08F5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D08F5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BD08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2025-03-12T11:26:00Z</dcterms:created>
  <dcterms:modified xsi:type="dcterms:W3CDTF">2025-03-12T13:36:00Z</dcterms:modified>
</cp:coreProperties>
</file>