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CB1" w:rsidRPr="006A0F24" w:rsidRDefault="00752CB1" w:rsidP="00752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0F24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752CB1" w:rsidRPr="006A0F24" w:rsidTr="00752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117772176</w:t>
            </w:r>
          </w:p>
        </w:tc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752CB1" w:rsidRPr="006A0F24" w:rsidRDefault="00752CB1" w:rsidP="00752CB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A0F2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АО "НИПИГАЗ" ИНН 2310004087 (акция 1-01-31003-E / ISIN RU000A0JQBN2)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31"/>
        <w:gridCol w:w="1048"/>
        <w:gridCol w:w="1048"/>
        <w:gridCol w:w="1695"/>
        <w:gridCol w:w="1189"/>
        <w:gridCol w:w="644"/>
        <w:gridCol w:w="644"/>
        <w:gridCol w:w="1483"/>
        <w:gridCol w:w="1450"/>
        <w:gridCol w:w="27"/>
      </w:tblGrid>
      <w:tr w:rsidR="00752CB1" w:rsidRPr="006A0F24" w:rsidTr="00752CB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1110512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29 декабря 2025 г. 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декабря 2025 г.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752CB1" w:rsidRPr="006A0F24" w:rsidTr="00752CB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752CB1" w:rsidRPr="006A0F24" w:rsidTr="00752CB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1110512X11368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"НИПИгазпереработка"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1-01-31003-E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сентября 2006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RU000A0JQBN2</w:t>
            </w:r>
          </w:p>
        </w:tc>
        <w:tc>
          <w:tcPr>
            <w:tcW w:w="0" w:type="auto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52CB1" w:rsidRPr="006A0F24" w:rsidTr="00752CB1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19:59 МСК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декабря 2025 г. 23:59 МСК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АО "КРЦ" 350020, г. Краснодар, ул. Рашпилевская, д. 157, 4 этаж</w:t>
            </w:r>
          </w:p>
        </w:tc>
      </w:tr>
      <w:tr w:rsidR="00752CB1" w:rsidRPr="006A0F24" w:rsidTr="00752CB1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752CB1" w:rsidRPr="006A0F24" w:rsidRDefault="00752CB1" w:rsidP="00752CB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A0F2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об адресе не предоставлена</w:t>
            </w:r>
          </w:p>
        </w:tc>
      </w:tr>
    </w:tbl>
    <w:p w:rsidR="00752CB1" w:rsidRPr="006A0F24" w:rsidRDefault="00752CB1" w:rsidP="00752CB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6A0F2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752CB1" w:rsidRPr="006A0F24" w:rsidRDefault="00752CB1" w:rsidP="00752CB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A0F24">
        <w:rPr>
          <w:rFonts w:ascii="Times New Roman" w:eastAsia="Times New Roman" w:hAnsi="Times New Roman"/>
          <w:sz w:val="20"/>
          <w:szCs w:val="20"/>
          <w:lang w:eastAsia="ru-RU"/>
        </w:rPr>
        <w:t xml:space="preserve">1. Утверждение Отчета о выполнении ключевых показателей Производственного контракта АО «НИПИГАЗ» за 2025 год </w:t>
      </w:r>
      <w:r w:rsidRPr="006A0F2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Согласование оценки результатов деятельности Проектных офисов (АГХК, АГПЗ) за второе полугодие 2025 г. </w:t>
      </w:r>
    </w:p>
    <w:p w:rsidR="00752CB1" w:rsidRDefault="00752CB1" w:rsidP="00752CB1">
      <w:pPr>
        <w:spacing w:before="100" w:beforeAutospacing="1" w:after="100" w:afterAutospacing="1" w:line="240" w:lineRule="auto"/>
        <w:rPr>
          <w:rFonts w:ascii="Times New Roman" w:hAnsi="Times New Roman"/>
          <w:sz w:val="20"/>
          <w:szCs w:val="20"/>
        </w:rPr>
      </w:pPr>
      <w:r w:rsidRPr="006A0F24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6A0F24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6A0F24" w:rsidRPr="004727BC" w:rsidRDefault="006A0F24" w:rsidP="006A0F2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727BC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6A0F24" w:rsidRPr="006A0F24" w:rsidRDefault="006A0F24" w:rsidP="00752CB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A0F24" w:rsidRPr="006A0F24" w:rsidSect="006A0F24">
      <w:pgSz w:w="11906" w:h="16838"/>
      <w:pgMar w:top="568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52CB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5F7F"/>
    <w:rsid w:val="002F6E0F"/>
    <w:rsid w:val="00301638"/>
    <w:rsid w:val="00314400"/>
    <w:rsid w:val="00317C74"/>
    <w:rsid w:val="003323FC"/>
    <w:rsid w:val="00343B7A"/>
    <w:rsid w:val="0034451F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0F24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2CB1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752C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52C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2CB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752CB1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752C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52CB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752C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2CB1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6A0F2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9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298f8fafd154a2c92b7e069f97d806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440</Words>
  <Characters>2514</Characters>
  <Application>Microsoft Office Word</Application>
  <DocSecurity>0</DocSecurity>
  <Lines>20</Lines>
  <Paragraphs>5</Paragraphs>
  <ScaleCrop>false</ScaleCrop>
  <Company>BankSGB</Company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zhuravleva.el</dc:creator>
  <cp:keywords/>
  <dc:description/>
  <cp:lastModifiedBy>Журавлева Е.Л.</cp:lastModifiedBy>
  <cp:revision>3</cp:revision>
  <dcterms:created xsi:type="dcterms:W3CDTF">2025-12-05T12:11:00Z</dcterms:created>
  <dcterms:modified xsi:type="dcterms:W3CDTF">2025-12-05T12:34:00Z</dcterms:modified>
</cp:coreProperties>
</file>