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04" w:rsidRPr="00D61931" w:rsidRDefault="009E3D04" w:rsidP="009E3D04">
      <w:pPr>
        <w:shd w:val="clear" w:color="auto" w:fill="FFFFFF"/>
        <w:suppressAutoHyphens/>
        <w:jc w:val="center"/>
        <w:rPr>
          <w:b/>
          <w:sz w:val="24"/>
          <w:szCs w:val="24"/>
        </w:rPr>
      </w:pPr>
      <w:r w:rsidRPr="00D61931">
        <w:rPr>
          <w:b/>
          <w:sz w:val="24"/>
          <w:szCs w:val="24"/>
        </w:rPr>
        <w:t>Стратегия управления «ВСЕГДА В ПЛЮСЕ»</w:t>
      </w:r>
    </w:p>
    <w:p w:rsidR="009E3D04" w:rsidRPr="00D61931" w:rsidRDefault="009E3D04" w:rsidP="009E3D04">
      <w:pPr>
        <w:suppressAutoHyphens/>
        <w:ind w:left="5398"/>
        <w:jc w:val="right"/>
        <w:rPr>
          <w:b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827"/>
        <w:gridCol w:w="5528"/>
      </w:tblGrid>
      <w:tr w:rsidR="009E3D04" w:rsidRPr="00D61931" w:rsidTr="005171D9">
        <w:trPr>
          <w:trHeight w:val="847"/>
        </w:trPr>
        <w:tc>
          <w:tcPr>
            <w:tcW w:w="534" w:type="dxa"/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rPr>
                <w:rFonts w:cs="Arial"/>
              </w:rPr>
            </w:pPr>
            <w:r w:rsidRPr="00D61931">
              <w:rPr>
                <w:rFonts w:cs="Arial"/>
              </w:rPr>
              <w:t>1</w:t>
            </w:r>
          </w:p>
        </w:tc>
        <w:tc>
          <w:tcPr>
            <w:tcW w:w="3827" w:type="dxa"/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rPr>
                <w:rFonts w:cs="Arial"/>
              </w:rPr>
            </w:pPr>
            <w:r w:rsidRPr="00D61931">
              <w:rPr>
                <w:rFonts w:cs="Arial"/>
              </w:rPr>
              <w:t>Цель стратегии</w:t>
            </w:r>
          </w:p>
        </w:tc>
        <w:tc>
          <w:tcPr>
            <w:tcW w:w="5528" w:type="dxa"/>
            <w:vAlign w:val="center"/>
          </w:tcPr>
          <w:p w:rsidR="009E3D04" w:rsidRPr="00D61931" w:rsidRDefault="009E3D04" w:rsidP="005171D9">
            <w:pPr>
              <w:suppressAutoHyphens/>
              <w:ind w:left="34"/>
              <w:jc w:val="both"/>
            </w:pPr>
            <w:r w:rsidRPr="00D61931">
              <w:t>Краткосрочное размещение денежных средств в биржевые инструменты денежного рынка (операции РЕПО) на срок от 1 дня до трех месяцев при минимальном уровне риска</w:t>
            </w:r>
          </w:p>
        </w:tc>
      </w:tr>
      <w:tr w:rsidR="009E3D04" w:rsidRPr="00D61931" w:rsidTr="005171D9">
        <w:tc>
          <w:tcPr>
            <w:tcW w:w="534" w:type="dxa"/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rPr>
                <w:rFonts w:cs="Arial"/>
              </w:rPr>
            </w:pPr>
            <w:r w:rsidRPr="00D61931">
              <w:rPr>
                <w:rFonts w:cs="Arial"/>
              </w:rPr>
              <w:t>2</w:t>
            </w:r>
          </w:p>
        </w:tc>
        <w:tc>
          <w:tcPr>
            <w:tcW w:w="3827" w:type="dxa"/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rPr>
                <w:rFonts w:cs="Arial"/>
              </w:rPr>
            </w:pPr>
            <w:r w:rsidRPr="00D61931">
              <w:rPr>
                <w:rFonts w:cs="Arial"/>
              </w:rPr>
              <w:t>Рекомендованный возраст Учредителя управления – физического лица</w:t>
            </w:r>
          </w:p>
        </w:tc>
        <w:tc>
          <w:tcPr>
            <w:tcW w:w="5528" w:type="dxa"/>
            <w:vAlign w:val="center"/>
          </w:tcPr>
          <w:p w:rsidR="009E3D04" w:rsidRPr="00D61931" w:rsidRDefault="009E3D04" w:rsidP="005171D9">
            <w:pPr>
              <w:suppressAutoHyphens/>
              <w:ind w:firstLine="84"/>
              <w:jc w:val="center"/>
            </w:pPr>
            <w:r w:rsidRPr="00D61931">
              <w:t>От 18 до 65 лет</w:t>
            </w:r>
          </w:p>
        </w:tc>
      </w:tr>
      <w:tr w:rsidR="009E3D04" w:rsidRPr="00D61931" w:rsidTr="005171D9">
        <w:trPr>
          <w:trHeight w:val="827"/>
        </w:trPr>
        <w:tc>
          <w:tcPr>
            <w:tcW w:w="534" w:type="dxa"/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rPr>
                <w:rFonts w:cs="Arial"/>
              </w:rPr>
            </w:pPr>
            <w:r w:rsidRPr="00D61931">
              <w:rPr>
                <w:rFonts w:cs="Arial"/>
              </w:rPr>
              <w:t>3</w:t>
            </w:r>
          </w:p>
        </w:tc>
        <w:tc>
          <w:tcPr>
            <w:tcW w:w="3827" w:type="dxa"/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rPr>
                <w:rFonts w:cs="Arial"/>
              </w:rPr>
            </w:pPr>
            <w:r w:rsidRPr="00D61931">
              <w:rPr>
                <w:rFonts w:cs="Arial"/>
              </w:rPr>
              <w:t>Примерные среднемесячные доходы за последние 12 месяцев (для физических лиц)</w:t>
            </w:r>
          </w:p>
        </w:tc>
        <w:tc>
          <w:tcPr>
            <w:tcW w:w="5528" w:type="dxa"/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jc w:val="center"/>
              <w:rPr>
                <w:rFonts w:eastAsia="Arial" w:cs="Arial"/>
              </w:rPr>
            </w:pPr>
            <w:r w:rsidRPr="00D61931">
              <w:rPr>
                <w:rFonts w:eastAsia="Arial" w:cs="Arial"/>
              </w:rPr>
              <w:t>От 40 000 (сорок тысяч) рублей</w:t>
            </w:r>
          </w:p>
        </w:tc>
      </w:tr>
      <w:tr w:rsidR="009E3D04" w:rsidRPr="00D61931" w:rsidTr="005171D9">
        <w:trPr>
          <w:trHeight w:val="673"/>
        </w:trPr>
        <w:tc>
          <w:tcPr>
            <w:tcW w:w="534" w:type="dxa"/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rPr>
                <w:rFonts w:cs="Arial"/>
              </w:rPr>
            </w:pPr>
            <w:r w:rsidRPr="00D61931">
              <w:rPr>
                <w:rFonts w:cs="Arial"/>
              </w:rPr>
              <w:t>4</w:t>
            </w:r>
          </w:p>
        </w:tc>
        <w:tc>
          <w:tcPr>
            <w:tcW w:w="3827" w:type="dxa"/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rPr>
                <w:rFonts w:cs="Arial"/>
              </w:rPr>
            </w:pPr>
            <w:r w:rsidRPr="00D61931">
              <w:rPr>
                <w:rFonts w:cs="Arial"/>
              </w:rPr>
              <w:t>Примерные среднемесячные расходы за последние 12 месяцев (для физических лиц)</w:t>
            </w:r>
          </w:p>
        </w:tc>
        <w:tc>
          <w:tcPr>
            <w:tcW w:w="5528" w:type="dxa"/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jc w:val="center"/>
              <w:rPr>
                <w:rFonts w:eastAsia="Arial" w:cs="Arial"/>
              </w:rPr>
            </w:pPr>
            <w:r w:rsidRPr="00D61931">
              <w:rPr>
                <w:rFonts w:eastAsia="Arial" w:cs="Arial"/>
              </w:rPr>
              <w:t>В размере, отличающемся в меньшую сторону от среднего дохода на десять и более тысяч рублей</w:t>
            </w:r>
          </w:p>
        </w:tc>
      </w:tr>
      <w:tr w:rsidR="009E3D04" w:rsidRPr="00D61931" w:rsidTr="005171D9">
        <w:trPr>
          <w:trHeight w:val="1577"/>
        </w:trPr>
        <w:tc>
          <w:tcPr>
            <w:tcW w:w="534" w:type="dxa"/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rPr>
                <w:rFonts w:cs="Arial"/>
              </w:rPr>
            </w:pPr>
            <w:r w:rsidRPr="00D61931">
              <w:rPr>
                <w:rFonts w:cs="Arial"/>
              </w:rPr>
              <w:t>5</w:t>
            </w:r>
          </w:p>
        </w:tc>
        <w:tc>
          <w:tcPr>
            <w:tcW w:w="3827" w:type="dxa"/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rPr>
                <w:rFonts w:cs="Arial"/>
              </w:rPr>
            </w:pPr>
            <w:r w:rsidRPr="00D61931">
              <w:rPr>
                <w:rFonts w:cs="Arial"/>
              </w:rPr>
              <w:t>Перечень (состав) Объектов доверительного управления, которые вправе приобретать Управляющий при осуществлении деятельности по доверительному управлению ценными бумагами</w:t>
            </w:r>
          </w:p>
        </w:tc>
        <w:tc>
          <w:tcPr>
            <w:tcW w:w="5528" w:type="dxa"/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jc w:val="both"/>
            </w:pPr>
            <w:r w:rsidRPr="00D61931">
              <w:rPr>
                <w:rFonts w:eastAsia="Arial" w:cs="Arial"/>
              </w:rPr>
              <w:t xml:space="preserve">- </w:t>
            </w:r>
            <w:r w:rsidRPr="00D61931">
              <w:rPr>
                <w:rFonts w:eastAsia="Arial"/>
              </w:rPr>
              <w:t xml:space="preserve">денежные средства, в том числе на счетах в кредитных организациях в рублях РФ и/или </w:t>
            </w:r>
            <w:r w:rsidRPr="00D61931">
              <w:t xml:space="preserve">предоставленные по первой части договора репо с ОФЗ, акциями из базы расчета индекса </w:t>
            </w:r>
            <w:r w:rsidRPr="00D61931">
              <w:rPr>
                <w:rFonts w:eastAsia="Arial"/>
              </w:rPr>
              <w:t>МосБиржи (</w:t>
            </w:r>
            <w:r w:rsidRPr="00D61931">
              <w:rPr>
                <w:rFonts w:eastAsia="Arial"/>
                <w:lang w:val="en-US"/>
              </w:rPr>
              <w:t>IMOEX</w:t>
            </w:r>
            <w:r w:rsidRPr="00D61931">
              <w:rPr>
                <w:rFonts w:eastAsia="Arial"/>
              </w:rPr>
              <w:t>) и/или по первой части договора репо с клиринговыми сертификатами участия, заключенного с Центральным контрагентом (НКО «Национальный Клиринговый Центр»</w:t>
            </w:r>
            <w:r w:rsidRPr="00D61931">
              <w:rPr>
                <w:rStyle w:val="a3"/>
                <w:lang w:eastAsia="ru-RU"/>
              </w:rPr>
              <w:t>)</w:t>
            </w:r>
          </w:p>
        </w:tc>
      </w:tr>
      <w:tr w:rsidR="009E3D04" w:rsidRPr="00D61931" w:rsidTr="005171D9">
        <w:tc>
          <w:tcPr>
            <w:tcW w:w="534" w:type="dxa"/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rPr>
                <w:rFonts w:cs="Arial"/>
              </w:rPr>
            </w:pPr>
            <w:r w:rsidRPr="00D61931">
              <w:rPr>
                <w:rFonts w:cs="Arial"/>
              </w:rPr>
              <w:t>6</w:t>
            </w:r>
          </w:p>
        </w:tc>
        <w:tc>
          <w:tcPr>
            <w:tcW w:w="3827" w:type="dxa"/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rPr>
                <w:rFonts w:cs="Arial"/>
              </w:rPr>
            </w:pPr>
            <w:r w:rsidRPr="00D61931">
              <w:rPr>
                <w:rFonts w:cs="Arial"/>
              </w:rPr>
              <w:t>Перечень групп эмитентов (по видам осуществляемой ими экономической деятельности), чьи ценные бумаги могут являться Объектами доверительного управления по Договору</w:t>
            </w:r>
          </w:p>
        </w:tc>
        <w:tc>
          <w:tcPr>
            <w:tcW w:w="5528" w:type="dxa"/>
            <w:vAlign w:val="center"/>
          </w:tcPr>
          <w:p w:rsidR="009E3D04" w:rsidRPr="00D61931" w:rsidRDefault="009E3D04" w:rsidP="000678EB">
            <w:pPr>
              <w:suppressAutoHyphens/>
              <w:adjustRightInd w:val="0"/>
              <w:jc w:val="center"/>
              <w:rPr>
                <w:rFonts w:cs="Arial"/>
              </w:rPr>
            </w:pPr>
            <w:r w:rsidRPr="00D61931">
              <w:t>Не ограничивается</w:t>
            </w:r>
          </w:p>
        </w:tc>
      </w:tr>
      <w:tr w:rsidR="009E3D04" w:rsidRPr="00D61931" w:rsidTr="005171D9">
        <w:trPr>
          <w:trHeight w:val="333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rPr>
                <w:rFonts w:cs="Arial"/>
              </w:rPr>
            </w:pPr>
            <w:r w:rsidRPr="00D61931">
              <w:rPr>
                <w:rFonts w:cs="Arial"/>
              </w:rPr>
              <w:t>7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rPr>
                <w:rFonts w:cs="Arial"/>
              </w:rPr>
            </w:pPr>
            <w:r w:rsidRPr="00D61931">
              <w:rPr>
                <w:rFonts w:cs="Arial"/>
              </w:rPr>
              <w:t>Минимальная сумма Первоначального взноса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jc w:val="center"/>
              <w:rPr>
                <w:rFonts w:cs="Arial"/>
                <w:b/>
              </w:rPr>
            </w:pPr>
            <w:r w:rsidRPr="00D61931">
              <w:rPr>
                <w:rFonts w:cs="Arial"/>
                <w:b/>
              </w:rPr>
              <w:t>150 000,00 (сто пятьдесят тысяч) рублей</w:t>
            </w:r>
          </w:p>
        </w:tc>
      </w:tr>
      <w:tr w:rsidR="009E3D04" w:rsidRPr="00D61931" w:rsidTr="005171D9">
        <w:trPr>
          <w:trHeight w:val="40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rPr>
                <w:rFonts w:cs="Arial"/>
              </w:rPr>
            </w:pPr>
            <w:r w:rsidRPr="00D61931">
              <w:rPr>
                <w:rFonts w:cs="Arial"/>
              </w:rPr>
              <w:t>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rPr>
                <w:rFonts w:cs="Arial"/>
              </w:rPr>
            </w:pPr>
            <w:r w:rsidRPr="00D61931">
              <w:rPr>
                <w:rFonts w:cs="Arial"/>
              </w:rPr>
              <w:t>Минимальная сумма Дополнительного взноса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jc w:val="center"/>
              <w:rPr>
                <w:rFonts w:cs="Arial"/>
                <w:b/>
              </w:rPr>
            </w:pPr>
            <w:r w:rsidRPr="00D61931">
              <w:rPr>
                <w:rFonts w:cs="Arial"/>
                <w:b/>
              </w:rPr>
              <w:t>Не ограничивается</w:t>
            </w:r>
          </w:p>
        </w:tc>
      </w:tr>
      <w:tr w:rsidR="009E3D04" w:rsidRPr="00D61931" w:rsidTr="005171D9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rPr>
                <w:rFonts w:cs="Arial"/>
              </w:rPr>
            </w:pPr>
            <w:r w:rsidRPr="00D61931">
              <w:rPr>
                <w:rFonts w:cs="Arial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vAlign w:val="center"/>
          </w:tcPr>
          <w:p w:rsidR="009E3D04" w:rsidRPr="00D61931" w:rsidRDefault="009E3D04" w:rsidP="005171D9">
            <w:pPr>
              <w:shd w:val="clear" w:color="auto" w:fill="FFFFFF"/>
              <w:suppressAutoHyphens/>
              <w:rPr>
                <w:bCs/>
                <w:spacing w:val="-3"/>
              </w:rPr>
            </w:pPr>
            <w:r w:rsidRPr="00D61931">
              <w:rPr>
                <w:bCs/>
                <w:spacing w:val="-3"/>
              </w:rPr>
              <w:t>Риски, связанные со Стратегией управления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D04" w:rsidRPr="00D61931" w:rsidRDefault="009E3D04" w:rsidP="005171D9">
            <w:pPr>
              <w:shd w:val="clear" w:color="auto" w:fill="FFFFFF"/>
              <w:suppressAutoHyphens/>
              <w:jc w:val="both"/>
              <w:rPr>
                <w:b/>
              </w:rPr>
            </w:pPr>
            <w:r w:rsidRPr="00D61931">
              <w:rPr>
                <w:b/>
              </w:rPr>
              <w:t>Риски:</w:t>
            </w:r>
          </w:p>
          <w:p w:rsidR="009E3D04" w:rsidRPr="00D61931" w:rsidRDefault="009E3D04" w:rsidP="005171D9">
            <w:pPr>
              <w:shd w:val="clear" w:color="auto" w:fill="FFFFFF"/>
              <w:suppressAutoHyphens/>
              <w:jc w:val="both"/>
            </w:pPr>
            <w:r w:rsidRPr="00D61931">
              <w:rPr>
                <w:b/>
              </w:rPr>
              <w:t>Системный, Кредитный</w:t>
            </w:r>
          </w:p>
          <w:p w:rsidR="009E3D04" w:rsidRPr="00D61931" w:rsidRDefault="009E3D04" w:rsidP="005171D9">
            <w:pPr>
              <w:shd w:val="clear" w:color="auto" w:fill="FFFFFF"/>
              <w:suppressAutoHyphens/>
              <w:jc w:val="both"/>
            </w:pPr>
            <w:r w:rsidRPr="00D61931">
              <w:t xml:space="preserve">Более подробное описание рисков, связанных со Стратегией управления, представлено в Приложении № 6 к Регламенту 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5528"/>
      </w:tblGrid>
      <w:tr w:rsidR="009E3D04" w:rsidRPr="00D61931" w:rsidTr="005171D9">
        <w:trPr>
          <w:trHeight w:val="84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9E3D04" w:rsidRPr="00D61931" w:rsidRDefault="009E3D04" w:rsidP="005171D9">
            <w:pPr>
              <w:pStyle w:val="Con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D61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9E3D04" w:rsidRPr="00D61931" w:rsidRDefault="009E3D04" w:rsidP="005171D9">
            <w:pPr>
              <w:shd w:val="clear" w:color="auto" w:fill="FFFFFF"/>
              <w:suppressAutoHyphens/>
              <w:rPr>
                <w:bCs/>
                <w:spacing w:val="-3"/>
              </w:rPr>
            </w:pPr>
            <w:r w:rsidRPr="00D61931">
              <w:rPr>
                <w:bCs/>
                <w:spacing w:val="-3"/>
              </w:rPr>
              <w:t>Информация о вознаграждении Управляющего в связи с доверительным управлением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9E3D04" w:rsidRPr="00D61931" w:rsidRDefault="009E3D04" w:rsidP="005171D9">
            <w:pPr>
              <w:shd w:val="clear" w:color="auto" w:fill="FFFFFF"/>
              <w:suppressAutoHyphens/>
              <w:jc w:val="both"/>
            </w:pPr>
            <w:r w:rsidRPr="00D61931">
              <w:t>Порядок расчета и выплаты вознаграждения Управляющего определен разделом 8 Регламента, Приложением № 13 к Регламенту, а также ставками, применяемыми в целях расчета вознаграждения Управляющего</w:t>
            </w:r>
          </w:p>
        </w:tc>
      </w:tr>
    </w:tbl>
    <w:tbl>
      <w:tblPr>
        <w:tblpPr w:leftFromText="180" w:rightFromText="180" w:vertAnchor="text" w:tblpY="1"/>
        <w:tblOverlap w:val="never"/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827"/>
        <w:gridCol w:w="5528"/>
      </w:tblGrid>
      <w:tr w:rsidR="009E3D04" w:rsidRPr="00D61931" w:rsidTr="005171D9">
        <w:trPr>
          <w:trHeight w:val="523"/>
        </w:trPr>
        <w:tc>
          <w:tcPr>
            <w:tcW w:w="534" w:type="dxa"/>
            <w:vAlign w:val="center"/>
          </w:tcPr>
          <w:p w:rsidR="009E3D04" w:rsidRPr="00D61931" w:rsidRDefault="009E3D04" w:rsidP="005171D9">
            <w:pPr>
              <w:pStyle w:val="Con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D619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  <w:vAlign w:val="center"/>
          </w:tcPr>
          <w:p w:rsidR="009E3D04" w:rsidRPr="00D61931" w:rsidRDefault="009E3D04" w:rsidP="005171D9">
            <w:pPr>
              <w:shd w:val="clear" w:color="auto" w:fill="FFFFFF"/>
              <w:suppressAutoHyphens/>
              <w:rPr>
                <w:bCs/>
                <w:spacing w:val="-3"/>
              </w:rPr>
            </w:pPr>
            <w:r w:rsidRPr="00D61931">
              <w:rPr>
                <w:bCs/>
                <w:spacing w:val="-3"/>
              </w:rPr>
              <w:t>Информация о расходах, связанных с Доверительным управлением</w:t>
            </w:r>
          </w:p>
        </w:tc>
        <w:tc>
          <w:tcPr>
            <w:tcW w:w="5528" w:type="dxa"/>
            <w:vAlign w:val="center"/>
          </w:tcPr>
          <w:p w:rsidR="009E3D04" w:rsidRPr="00D61931" w:rsidRDefault="009E3D04" w:rsidP="005171D9">
            <w:pPr>
              <w:shd w:val="clear" w:color="auto" w:fill="FFFFFF"/>
              <w:suppressAutoHyphens/>
              <w:jc w:val="both"/>
            </w:pPr>
            <w:r w:rsidRPr="00D61931">
              <w:t xml:space="preserve">Перечень расходов, связанных с доверительным управлением, определен разделом 8 Регламента 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827"/>
        <w:gridCol w:w="2385"/>
        <w:gridCol w:w="1584"/>
        <w:gridCol w:w="1559"/>
      </w:tblGrid>
      <w:tr w:rsidR="009E3D04" w:rsidRPr="00D61931" w:rsidTr="005171D9">
        <w:trPr>
          <w:trHeight w:val="460"/>
        </w:trPr>
        <w:tc>
          <w:tcPr>
            <w:tcW w:w="534" w:type="dxa"/>
            <w:vMerge w:val="restart"/>
            <w:tcBorders>
              <w:top w:val="nil"/>
            </w:tcBorders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jc w:val="center"/>
              <w:rPr>
                <w:rFonts w:cs="Arial"/>
              </w:rPr>
            </w:pPr>
            <w:r w:rsidRPr="00D61931">
              <w:rPr>
                <w:rFonts w:cs="Arial"/>
              </w:rPr>
              <w:t>12</w:t>
            </w:r>
          </w:p>
        </w:tc>
        <w:tc>
          <w:tcPr>
            <w:tcW w:w="3827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rPr>
                <w:rFonts w:cs="Arial"/>
              </w:rPr>
            </w:pPr>
            <w:r w:rsidRPr="00D61931">
              <w:rPr>
                <w:rFonts w:cs="Arial"/>
              </w:rPr>
              <w:t>Структура Объектов доверительного управления, которую обязан поддерживать Управляющий в течение всего срока действия Договора</w:t>
            </w:r>
          </w:p>
        </w:tc>
        <w:tc>
          <w:tcPr>
            <w:tcW w:w="2385" w:type="dxa"/>
            <w:tcBorders>
              <w:top w:val="nil"/>
              <w:bottom w:val="single" w:sz="4" w:space="0" w:color="auto"/>
            </w:tcBorders>
            <w:vAlign w:val="center"/>
          </w:tcPr>
          <w:p w:rsidR="009E3D04" w:rsidRPr="00D61931" w:rsidRDefault="009E3D04" w:rsidP="005171D9">
            <w:pPr>
              <w:tabs>
                <w:tab w:val="left" w:pos="455"/>
              </w:tabs>
              <w:suppressAutoHyphens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61931">
              <w:rPr>
                <w:rFonts w:cs="Arial"/>
                <w:b/>
                <w:sz w:val="18"/>
                <w:szCs w:val="18"/>
              </w:rPr>
              <w:t>Вид Активов</w:t>
            </w:r>
          </w:p>
        </w:tc>
        <w:tc>
          <w:tcPr>
            <w:tcW w:w="1584" w:type="dxa"/>
            <w:tcBorders>
              <w:top w:val="nil"/>
            </w:tcBorders>
            <w:vAlign w:val="center"/>
          </w:tcPr>
          <w:p w:rsidR="009E3D04" w:rsidRPr="00D61931" w:rsidRDefault="009E3D04" w:rsidP="005171D9">
            <w:pPr>
              <w:tabs>
                <w:tab w:val="left" w:pos="455"/>
              </w:tabs>
              <w:suppressAutoHyphens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61931">
              <w:rPr>
                <w:rFonts w:cs="Arial"/>
                <w:b/>
                <w:sz w:val="18"/>
                <w:szCs w:val="18"/>
              </w:rPr>
              <w:t>Минимальная доля Активов в общем объеме (%)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9E3D04" w:rsidRPr="00D61931" w:rsidRDefault="009E3D04" w:rsidP="005171D9">
            <w:pPr>
              <w:tabs>
                <w:tab w:val="left" w:pos="455"/>
              </w:tabs>
              <w:suppressAutoHyphens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61931">
              <w:rPr>
                <w:rFonts w:cs="Arial"/>
                <w:b/>
                <w:sz w:val="18"/>
                <w:szCs w:val="18"/>
              </w:rPr>
              <w:t>Максимальная доля Активов в общем объеме (%)</w:t>
            </w:r>
          </w:p>
        </w:tc>
      </w:tr>
      <w:tr w:rsidR="009E3D04" w:rsidRPr="00D61931" w:rsidTr="005171D9">
        <w:trPr>
          <w:trHeight w:val="1217"/>
        </w:trPr>
        <w:tc>
          <w:tcPr>
            <w:tcW w:w="534" w:type="dxa"/>
            <w:vMerge/>
          </w:tcPr>
          <w:p w:rsidR="009E3D04" w:rsidRPr="00D61931" w:rsidRDefault="009E3D04" w:rsidP="005171D9">
            <w:pPr>
              <w:suppressAutoHyphens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9E3D04" w:rsidRPr="00D61931" w:rsidRDefault="009E3D04" w:rsidP="005171D9">
            <w:pPr>
              <w:suppressAutoHyphens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385" w:type="dxa"/>
          </w:tcPr>
          <w:p w:rsidR="009E3D04" w:rsidRPr="00D61931" w:rsidRDefault="009E3D04" w:rsidP="005171D9">
            <w:pPr>
              <w:suppressAutoHyphens/>
              <w:adjustRightInd w:val="0"/>
              <w:jc w:val="both"/>
              <w:rPr>
                <w:rFonts w:cs="Arial"/>
              </w:rPr>
            </w:pPr>
            <w:r w:rsidRPr="00D61931">
              <w:rPr>
                <w:rFonts w:eastAsia="Arial"/>
              </w:rPr>
              <w:t xml:space="preserve">- денежные средства, в том числе на счетах в кредитных организациях, и/или </w:t>
            </w:r>
            <w:r w:rsidRPr="00D61931">
              <w:t xml:space="preserve">предоставленные по первой части договора репо с ОФЗ, акциями из базы расчета индекса </w:t>
            </w:r>
            <w:r w:rsidRPr="00D61931">
              <w:rPr>
                <w:rFonts w:eastAsia="Arial"/>
              </w:rPr>
              <w:t>МосБиржи (</w:t>
            </w:r>
            <w:r w:rsidRPr="00D61931">
              <w:rPr>
                <w:rFonts w:eastAsia="Arial"/>
                <w:lang w:val="en-US"/>
              </w:rPr>
              <w:t>IMOEX</w:t>
            </w:r>
            <w:r w:rsidRPr="00D61931">
              <w:rPr>
                <w:rFonts w:eastAsia="Arial"/>
              </w:rPr>
              <w:t>) и/или по первой части договора репо с клиринговыми сертификатами участия, заключенного с Центральным контрагентом (НКО «Национальный клиринговый центр»)</w:t>
            </w:r>
          </w:p>
        </w:tc>
        <w:tc>
          <w:tcPr>
            <w:tcW w:w="1584" w:type="dxa"/>
            <w:vAlign w:val="center"/>
          </w:tcPr>
          <w:p w:rsidR="009E3D04" w:rsidRPr="00D61931" w:rsidRDefault="009E3D04" w:rsidP="005171D9">
            <w:pPr>
              <w:tabs>
                <w:tab w:val="left" w:pos="455"/>
              </w:tabs>
              <w:suppressAutoHyphens/>
              <w:adjustRightInd w:val="0"/>
              <w:jc w:val="center"/>
              <w:rPr>
                <w:rFonts w:cs="Arial"/>
              </w:rPr>
            </w:pPr>
            <w:r w:rsidRPr="00D61931">
              <w:rPr>
                <w:rFonts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9E3D04" w:rsidRPr="00D61931" w:rsidRDefault="009E3D04" w:rsidP="005171D9">
            <w:pPr>
              <w:tabs>
                <w:tab w:val="left" w:pos="455"/>
              </w:tabs>
              <w:suppressAutoHyphens/>
              <w:adjustRightInd w:val="0"/>
              <w:jc w:val="center"/>
              <w:rPr>
                <w:rFonts w:cs="Arial"/>
              </w:rPr>
            </w:pPr>
            <w:r w:rsidRPr="00D61931">
              <w:rPr>
                <w:rFonts w:cs="Arial"/>
              </w:rPr>
              <w:t>100</w:t>
            </w:r>
          </w:p>
        </w:tc>
      </w:tr>
      <w:tr w:rsidR="009E3D04" w:rsidRPr="00D61931" w:rsidTr="005171D9">
        <w:trPr>
          <w:trHeight w:val="678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rPr>
                <w:rFonts w:cs="Arial"/>
              </w:rPr>
            </w:pPr>
            <w:r w:rsidRPr="00D61931">
              <w:rPr>
                <w:rFonts w:cs="Arial"/>
              </w:rPr>
              <w:lastRenderedPageBreak/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04" w:rsidRPr="00D61931" w:rsidRDefault="009E3D04" w:rsidP="005171D9">
            <w:pPr>
              <w:suppressAutoHyphens/>
            </w:pPr>
            <w:r w:rsidRPr="00D61931">
              <w:t>Соотношение между ценными бумагами различных групп эмитентов (по отраслевому или иному признаку)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D04" w:rsidRPr="00D61931" w:rsidRDefault="009E3D04" w:rsidP="005171D9">
            <w:pPr>
              <w:tabs>
                <w:tab w:val="left" w:pos="455"/>
              </w:tabs>
              <w:suppressAutoHyphens/>
              <w:adjustRightInd w:val="0"/>
              <w:rPr>
                <w:rFonts w:cs="Arial"/>
              </w:rPr>
            </w:pPr>
            <w:r w:rsidRPr="00D61931">
              <w:rPr>
                <w:rFonts w:cs="Arial"/>
              </w:rPr>
              <w:t>Не применяется</w:t>
            </w:r>
          </w:p>
        </w:tc>
      </w:tr>
      <w:tr w:rsidR="009E3D04" w:rsidRPr="00D61931" w:rsidTr="005171D9">
        <w:trPr>
          <w:trHeight w:val="561"/>
        </w:trPr>
        <w:tc>
          <w:tcPr>
            <w:tcW w:w="534" w:type="dxa"/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rPr>
                <w:rFonts w:cs="Arial"/>
              </w:rPr>
            </w:pPr>
            <w:r w:rsidRPr="00D61931">
              <w:rPr>
                <w:rFonts w:cs="Arial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9E3D04" w:rsidRPr="00D61931" w:rsidRDefault="009E3D04" w:rsidP="005171D9">
            <w:pPr>
              <w:suppressAutoHyphens/>
            </w:pPr>
            <w:r w:rsidRPr="00D61931">
              <w:t>Условия частичного отзыва Объектов доверительного управления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D04" w:rsidRPr="00D61931" w:rsidRDefault="009E3D04" w:rsidP="005171D9">
            <w:pPr>
              <w:tabs>
                <w:tab w:val="left" w:pos="455"/>
              </w:tabs>
              <w:suppressAutoHyphens/>
              <w:autoSpaceDE w:val="0"/>
              <w:autoSpaceDN w:val="0"/>
              <w:ind w:left="34"/>
              <w:jc w:val="both"/>
              <w:rPr>
                <w:rFonts w:cs="Arial"/>
              </w:rPr>
            </w:pPr>
            <w:r w:rsidRPr="00D61931">
              <w:t>размер активов, находящихся в управлении после отзыва средств, должен быть не менее минимальной суммы Первоначального взноса</w:t>
            </w:r>
          </w:p>
        </w:tc>
      </w:tr>
    </w:tbl>
    <w:p w:rsidR="009E3D04" w:rsidRPr="00D61931" w:rsidRDefault="009E3D04" w:rsidP="009E3D04">
      <w:pPr>
        <w:suppressAutoHyphens/>
        <w:rPr>
          <w:vanish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/>
      </w:tblPr>
      <w:tblGrid>
        <w:gridCol w:w="534"/>
        <w:gridCol w:w="3827"/>
        <w:gridCol w:w="2835"/>
        <w:gridCol w:w="2693"/>
      </w:tblGrid>
      <w:tr w:rsidR="009E3D04" w:rsidRPr="00D61931" w:rsidTr="005171D9">
        <w:trPr>
          <w:trHeight w:val="272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jc w:val="center"/>
              <w:rPr>
                <w:rFonts w:cs="Arial"/>
              </w:rPr>
            </w:pPr>
            <w:r w:rsidRPr="00D61931">
              <w:rPr>
                <w:rFonts w:cs="Arial"/>
              </w:rPr>
              <w:t>15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9E3D04" w:rsidRPr="00D61931" w:rsidRDefault="009E3D04" w:rsidP="005171D9">
            <w:pPr>
              <w:suppressAutoHyphens/>
            </w:pPr>
            <w:r w:rsidRPr="00D61931">
              <w:t>Стандартный инвестиционный профиль Учредителя управления для стратегии «Всегда в плюсе»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9E3D04" w:rsidRPr="00D61931" w:rsidRDefault="009E3D04" w:rsidP="005171D9">
            <w:pPr>
              <w:tabs>
                <w:tab w:val="left" w:pos="34"/>
              </w:tabs>
              <w:suppressAutoHyphens/>
              <w:adjustRightInd w:val="0"/>
              <w:ind w:firstLine="34"/>
              <w:jc w:val="center"/>
              <w:rPr>
                <w:rFonts w:cs="Arial"/>
              </w:rPr>
            </w:pPr>
            <w:r w:rsidRPr="00D61931">
              <w:rPr>
                <w:rFonts w:cs="Arial"/>
              </w:rPr>
              <w:t>Ожидаемая доходность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9E3D04" w:rsidRPr="00D61931" w:rsidRDefault="009E3D04" w:rsidP="002C04C0">
            <w:pPr>
              <w:tabs>
                <w:tab w:val="left" w:pos="34"/>
              </w:tabs>
              <w:suppressAutoHyphens/>
              <w:adjustRightInd w:val="0"/>
              <w:ind w:left="34"/>
              <w:jc w:val="center"/>
              <w:rPr>
                <w:rFonts w:cs="Arial"/>
              </w:rPr>
            </w:pPr>
            <w:r w:rsidRPr="00D61931">
              <w:rPr>
                <w:rFonts w:cs="Arial"/>
              </w:rPr>
              <w:t>1</w:t>
            </w:r>
            <w:r w:rsidR="002C04C0">
              <w:rPr>
                <w:rFonts w:cs="Arial"/>
              </w:rPr>
              <w:t>6</w:t>
            </w:r>
            <w:r w:rsidRPr="00D61931">
              <w:rPr>
                <w:rFonts w:cs="Arial"/>
              </w:rPr>
              <w:t>,0 % годовых</w:t>
            </w:r>
          </w:p>
        </w:tc>
      </w:tr>
      <w:tr w:rsidR="009E3D04" w:rsidRPr="00D61931" w:rsidTr="005171D9">
        <w:trPr>
          <w:trHeight w:val="275"/>
        </w:trPr>
        <w:tc>
          <w:tcPr>
            <w:tcW w:w="534" w:type="dxa"/>
            <w:vMerge/>
            <w:shd w:val="clear" w:color="auto" w:fill="FDE9D9"/>
          </w:tcPr>
          <w:p w:rsidR="009E3D04" w:rsidRPr="00D61931" w:rsidRDefault="009E3D04" w:rsidP="005171D9">
            <w:pPr>
              <w:suppressAutoHyphens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3827" w:type="dxa"/>
            <w:vMerge/>
            <w:shd w:val="clear" w:color="auto" w:fill="FDE9D9"/>
            <w:vAlign w:val="center"/>
          </w:tcPr>
          <w:p w:rsidR="009E3D04" w:rsidRPr="00D61931" w:rsidRDefault="009E3D04" w:rsidP="005171D9">
            <w:pPr>
              <w:suppressAutoHyphens/>
              <w:jc w:val="center"/>
            </w:pPr>
          </w:p>
        </w:tc>
        <w:tc>
          <w:tcPr>
            <w:tcW w:w="2835" w:type="dxa"/>
            <w:shd w:val="clear" w:color="auto" w:fill="FDE9D9"/>
            <w:vAlign w:val="center"/>
          </w:tcPr>
          <w:p w:rsidR="009E3D04" w:rsidRPr="00D61931" w:rsidRDefault="009E3D04" w:rsidP="005171D9">
            <w:pPr>
              <w:tabs>
                <w:tab w:val="left" w:pos="34"/>
              </w:tabs>
              <w:suppressAutoHyphens/>
              <w:adjustRightInd w:val="0"/>
              <w:ind w:firstLine="34"/>
              <w:jc w:val="center"/>
              <w:rPr>
                <w:rFonts w:cs="Arial"/>
              </w:rPr>
            </w:pPr>
            <w:r w:rsidRPr="00D61931">
              <w:rPr>
                <w:rFonts w:cs="Arial"/>
              </w:rPr>
              <w:t>Допустимый риск</w:t>
            </w:r>
          </w:p>
        </w:tc>
        <w:tc>
          <w:tcPr>
            <w:tcW w:w="2693" w:type="dxa"/>
            <w:shd w:val="clear" w:color="auto" w:fill="FDE9D9"/>
            <w:vAlign w:val="center"/>
          </w:tcPr>
          <w:p w:rsidR="009E3D04" w:rsidRPr="00D61931" w:rsidRDefault="009E3D04" w:rsidP="005171D9">
            <w:pPr>
              <w:tabs>
                <w:tab w:val="left" w:pos="34"/>
              </w:tabs>
              <w:suppressAutoHyphens/>
              <w:adjustRightInd w:val="0"/>
              <w:ind w:left="34"/>
              <w:jc w:val="center"/>
              <w:rPr>
                <w:rFonts w:cs="Arial"/>
              </w:rPr>
            </w:pPr>
            <w:r w:rsidRPr="00D61931">
              <w:rPr>
                <w:rFonts w:cs="Arial"/>
              </w:rPr>
              <w:t>0 %</w:t>
            </w:r>
          </w:p>
        </w:tc>
      </w:tr>
      <w:tr w:rsidR="009E3D04" w:rsidRPr="00D61931" w:rsidTr="005171D9">
        <w:trPr>
          <w:trHeight w:val="280"/>
        </w:trPr>
        <w:tc>
          <w:tcPr>
            <w:tcW w:w="534" w:type="dxa"/>
            <w:vMerge/>
            <w:shd w:val="clear" w:color="auto" w:fill="FDE9D9"/>
          </w:tcPr>
          <w:p w:rsidR="009E3D04" w:rsidRPr="00D61931" w:rsidRDefault="009E3D04" w:rsidP="005171D9">
            <w:pPr>
              <w:suppressAutoHyphens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3827" w:type="dxa"/>
            <w:vMerge/>
            <w:shd w:val="clear" w:color="auto" w:fill="FDE9D9"/>
            <w:vAlign w:val="center"/>
          </w:tcPr>
          <w:p w:rsidR="009E3D04" w:rsidRPr="00D61931" w:rsidRDefault="009E3D04" w:rsidP="005171D9">
            <w:pPr>
              <w:suppressAutoHyphens/>
              <w:jc w:val="center"/>
            </w:pPr>
          </w:p>
        </w:tc>
        <w:tc>
          <w:tcPr>
            <w:tcW w:w="2835" w:type="dxa"/>
            <w:shd w:val="clear" w:color="auto" w:fill="FDE9D9"/>
            <w:vAlign w:val="center"/>
          </w:tcPr>
          <w:p w:rsidR="009E3D04" w:rsidRPr="00D61931" w:rsidRDefault="009E3D04" w:rsidP="005171D9">
            <w:pPr>
              <w:tabs>
                <w:tab w:val="left" w:pos="34"/>
              </w:tabs>
              <w:suppressAutoHyphens/>
              <w:adjustRightInd w:val="0"/>
              <w:ind w:firstLine="34"/>
              <w:jc w:val="center"/>
              <w:rPr>
                <w:rFonts w:cs="Arial"/>
              </w:rPr>
            </w:pPr>
            <w:r w:rsidRPr="00D61931">
              <w:rPr>
                <w:rFonts w:cs="Arial"/>
              </w:rPr>
              <w:t>Инвестиционный горизонт</w:t>
            </w:r>
          </w:p>
        </w:tc>
        <w:tc>
          <w:tcPr>
            <w:tcW w:w="2693" w:type="dxa"/>
            <w:shd w:val="clear" w:color="auto" w:fill="FDE9D9"/>
            <w:vAlign w:val="center"/>
          </w:tcPr>
          <w:p w:rsidR="009E3D04" w:rsidRPr="00D61931" w:rsidRDefault="002C04C0" w:rsidP="002C04C0">
            <w:pPr>
              <w:tabs>
                <w:tab w:val="left" w:pos="34"/>
              </w:tabs>
              <w:suppressAutoHyphens/>
              <w:adjustRightInd w:val="0"/>
              <w:ind w:left="34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  <w:r w:rsidR="009E3D04" w:rsidRPr="00D61931">
              <w:rPr>
                <w:rFonts w:cs="Arial"/>
              </w:rPr>
              <w:t xml:space="preserve"> месяцев</w:t>
            </w:r>
          </w:p>
        </w:tc>
      </w:tr>
    </w:tbl>
    <w:p w:rsidR="009E3D04" w:rsidRPr="00D61931" w:rsidRDefault="009E3D04" w:rsidP="009E3D04">
      <w:pPr>
        <w:suppressAutoHyphens/>
        <w:rPr>
          <w:vanish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5528"/>
      </w:tblGrid>
      <w:tr w:rsidR="009E3D04" w:rsidRPr="00D61931" w:rsidTr="005171D9">
        <w:trPr>
          <w:trHeight w:val="318"/>
        </w:trPr>
        <w:tc>
          <w:tcPr>
            <w:tcW w:w="534" w:type="dxa"/>
            <w:shd w:val="clear" w:color="auto" w:fill="FDE9D9"/>
            <w:vAlign w:val="center"/>
          </w:tcPr>
          <w:p w:rsidR="009E3D04" w:rsidRPr="00D61931" w:rsidRDefault="009E3D04" w:rsidP="005171D9">
            <w:pPr>
              <w:suppressAutoHyphens/>
              <w:adjustRightInd w:val="0"/>
              <w:rPr>
                <w:rFonts w:cs="Arial"/>
              </w:rPr>
            </w:pPr>
            <w:r w:rsidRPr="00D61931">
              <w:rPr>
                <w:rFonts w:cs="Arial"/>
              </w:rPr>
              <w:t>16</w:t>
            </w:r>
          </w:p>
        </w:tc>
        <w:tc>
          <w:tcPr>
            <w:tcW w:w="3827" w:type="dxa"/>
            <w:shd w:val="clear" w:color="auto" w:fill="FDE9D9"/>
            <w:vAlign w:val="center"/>
          </w:tcPr>
          <w:p w:rsidR="009E3D04" w:rsidRPr="00D61931" w:rsidRDefault="009E3D04" w:rsidP="005171D9">
            <w:pPr>
              <w:suppressAutoHyphens/>
              <w:rPr>
                <w:lang w:val="en-US"/>
              </w:rPr>
            </w:pPr>
            <w:r w:rsidRPr="00D61931">
              <w:t>валюта Стратегии</w:t>
            </w:r>
          </w:p>
        </w:tc>
        <w:tc>
          <w:tcPr>
            <w:tcW w:w="5528" w:type="dxa"/>
            <w:shd w:val="clear" w:color="auto" w:fill="FDE9D9"/>
            <w:vAlign w:val="center"/>
          </w:tcPr>
          <w:p w:rsidR="009E3D04" w:rsidRPr="00D61931" w:rsidRDefault="009E3D04" w:rsidP="005171D9">
            <w:pPr>
              <w:tabs>
                <w:tab w:val="left" w:pos="455"/>
              </w:tabs>
              <w:suppressAutoHyphens/>
              <w:adjustRightInd w:val="0"/>
              <w:rPr>
                <w:rFonts w:cs="Arial"/>
              </w:rPr>
            </w:pPr>
            <w:r w:rsidRPr="00D61931">
              <w:rPr>
                <w:rFonts w:cs="Arial"/>
              </w:rPr>
              <w:t>Рубль Российской Федерации</w:t>
            </w:r>
          </w:p>
        </w:tc>
      </w:tr>
    </w:tbl>
    <w:p w:rsidR="008E3850" w:rsidRDefault="000678EB" w:rsidP="009E3D04"/>
    <w:sectPr w:rsidR="008E3850" w:rsidSect="000678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E3D04"/>
    <w:rsid w:val="000678EB"/>
    <w:rsid w:val="000C45D8"/>
    <w:rsid w:val="002C04C0"/>
    <w:rsid w:val="004F200F"/>
    <w:rsid w:val="007D218C"/>
    <w:rsid w:val="0092788C"/>
    <w:rsid w:val="009A6623"/>
    <w:rsid w:val="009E3D04"/>
    <w:rsid w:val="00E077E0"/>
    <w:rsid w:val="00E47A89"/>
    <w:rsid w:val="00F6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04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E3D0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rsid w:val="009E3D04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 Сергей Александрович</dc:creator>
  <cp:lastModifiedBy>Сергеева С. В.</cp:lastModifiedBy>
  <cp:revision>4</cp:revision>
  <dcterms:created xsi:type="dcterms:W3CDTF">2025-03-19T11:32:00Z</dcterms:created>
  <dcterms:modified xsi:type="dcterms:W3CDTF">2025-03-19T12:19:00Z</dcterms:modified>
</cp:coreProperties>
</file>