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05" w:rsidRPr="00A015A7" w:rsidRDefault="00A015A7" w:rsidP="00A015A7">
      <w:pPr>
        <w:shd w:val="clear" w:color="auto" w:fill="FFFFFF"/>
        <w:autoSpaceDE w:val="0"/>
        <w:autoSpaceDN w:val="0"/>
        <w:ind w:firstLine="567"/>
        <w:jc w:val="both"/>
        <w:rPr>
          <w:b/>
          <w:spacing w:val="-13"/>
          <w:sz w:val="22"/>
          <w:szCs w:val="22"/>
        </w:rPr>
      </w:pPr>
      <w:r>
        <w:rPr>
          <w:b/>
          <w:bCs/>
          <w:sz w:val="22"/>
          <w:szCs w:val="22"/>
        </w:rPr>
        <w:t xml:space="preserve">Описание изменений </w:t>
      </w:r>
      <w:r w:rsidR="00004805" w:rsidRPr="00FD1EF7">
        <w:rPr>
          <w:b/>
          <w:bCs/>
          <w:sz w:val="22"/>
          <w:szCs w:val="22"/>
        </w:rPr>
        <w:t>к Регламенту доверительного управления ценными бумагами и денежными средствами, предназначенными для инвестирования в ценные бумаги</w:t>
      </w:r>
      <w:r w:rsidR="00004805" w:rsidRPr="00FD1EF7">
        <w:rPr>
          <w:b/>
          <w:sz w:val="22"/>
          <w:szCs w:val="22"/>
        </w:rPr>
        <w:t xml:space="preserve"> в Акционерном обществе «СЕВЕРГАЗБАНК» </w:t>
      </w:r>
      <w:r w:rsidR="00004805" w:rsidRPr="00FD1EF7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введен в действие приказом Председателя Правления № 193 от 24.03.2026 с 06.04.2026</w:t>
      </w:r>
      <w:r w:rsidR="00004805" w:rsidRPr="00FD1EF7">
        <w:rPr>
          <w:b/>
          <w:bCs/>
          <w:sz w:val="22"/>
          <w:szCs w:val="22"/>
        </w:rPr>
        <w:t>).</w:t>
      </w:r>
    </w:p>
    <w:p w:rsidR="00004805" w:rsidRPr="00FD1EF7" w:rsidRDefault="00004805" w:rsidP="00004805">
      <w:pPr>
        <w:widowControl w:val="0"/>
        <w:suppressAutoHyphens/>
        <w:ind w:firstLine="709"/>
        <w:jc w:val="both"/>
        <w:rPr>
          <w:bCs/>
          <w:sz w:val="22"/>
          <w:szCs w:val="22"/>
        </w:rPr>
      </w:pPr>
    </w:p>
    <w:p w:rsidR="00004805" w:rsidRPr="00FD1EF7" w:rsidRDefault="00FD1EF7" w:rsidP="00004805">
      <w:pPr>
        <w:widowControl w:val="0"/>
        <w:suppressAutoHyphens/>
        <w:ind w:firstLine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В связи с вступлением в силу </w:t>
      </w:r>
      <w:r w:rsidR="007C3A3A">
        <w:rPr>
          <w:bCs/>
          <w:sz w:val="22"/>
          <w:szCs w:val="22"/>
        </w:rPr>
        <w:t>Базового стандарта совершения управляющим операций на финансовом рынке (утв. Комитетом финансового надзора Банка России (прото</w:t>
      </w:r>
      <w:r w:rsidR="00A015A7">
        <w:rPr>
          <w:bCs/>
          <w:sz w:val="22"/>
          <w:szCs w:val="22"/>
        </w:rPr>
        <w:t xml:space="preserve">кол от 07.08.2025, № КФНП-26)) </w:t>
      </w:r>
      <w:r w:rsidR="00004805" w:rsidRPr="00FD1EF7">
        <w:rPr>
          <w:bCs/>
          <w:sz w:val="22"/>
          <w:szCs w:val="22"/>
        </w:rPr>
        <w:t xml:space="preserve">следующие изменения/дополнения: </w:t>
      </w:r>
    </w:p>
    <w:p w:rsidR="00BB2856" w:rsidRPr="00B21287" w:rsidRDefault="00BB2856" w:rsidP="00BB2856">
      <w:pPr>
        <w:suppressAutoHyphens/>
        <w:spacing w:line="264" w:lineRule="auto"/>
        <w:ind w:firstLine="709"/>
        <w:jc w:val="both"/>
        <w:rPr>
          <w:sz w:val="12"/>
          <w:szCs w:val="12"/>
        </w:rPr>
      </w:pPr>
    </w:p>
    <w:p w:rsidR="00004805" w:rsidRPr="00FD1EF7" w:rsidRDefault="00351099" w:rsidP="00FD1EF7">
      <w:pPr>
        <w:pStyle w:val="a5"/>
        <w:numPr>
          <w:ilvl w:val="0"/>
          <w:numId w:val="1"/>
        </w:numPr>
        <w:tabs>
          <w:tab w:val="left" w:pos="993"/>
        </w:tabs>
        <w:suppressAutoHyphens/>
        <w:spacing w:line="264" w:lineRule="auto"/>
        <w:ind w:left="0" w:firstLine="690"/>
        <w:jc w:val="both"/>
        <w:rPr>
          <w:sz w:val="22"/>
          <w:szCs w:val="22"/>
        </w:rPr>
      </w:pPr>
      <w:r w:rsidRPr="00A539F5">
        <w:rPr>
          <w:b/>
          <w:sz w:val="22"/>
          <w:szCs w:val="22"/>
        </w:rPr>
        <w:t>В Разделе «Термины и определения»</w:t>
      </w:r>
      <w:r w:rsidRPr="00FD1EF7">
        <w:rPr>
          <w:sz w:val="22"/>
          <w:szCs w:val="22"/>
        </w:rPr>
        <w:t xml:space="preserve"> </w:t>
      </w:r>
      <w:r w:rsidR="00FD1EF7" w:rsidRPr="00FD1EF7">
        <w:rPr>
          <w:sz w:val="22"/>
          <w:szCs w:val="22"/>
        </w:rPr>
        <w:t>понятия: Допустимый риск, Стандартный инвестиционный профиль, Индивидуальный инвестиционный профиль приведены в соответствие с тем, как они трактуются Базовым стандартом.</w:t>
      </w:r>
    </w:p>
    <w:p w:rsidR="00004805" w:rsidRPr="00B21287" w:rsidRDefault="00004805" w:rsidP="00FD1EF7">
      <w:pPr>
        <w:suppressAutoHyphens/>
        <w:spacing w:line="264" w:lineRule="auto"/>
        <w:jc w:val="both"/>
        <w:rPr>
          <w:sz w:val="12"/>
          <w:szCs w:val="12"/>
        </w:rPr>
      </w:pPr>
    </w:p>
    <w:p w:rsidR="003F7B77" w:rsidRPr="003F7B77" w:rsidRDefault="00B21287" w:rsidP="00B21287">
      <w:pPr>
        <w:pStyle w:val="a5"/>
        <w:numPr>
          <w:ilvl w:val="0"/>
          <w:numId w:val="1"/>
        </w:numPr>
        <w:tabs>
          <w:tab w:val="left" w:pos="993"/>
        </w:tabs>
        <w:suppressAutoHyphens/>
        <w:spacing w:line="264" w:lineRule="auto"/>
        <w:ind w:left="0" w:firstLine="709"/>
        <w:jc w:val="both"/>
        <w:rPr>
          <w:sz w:val="22"/>
          <w:szCs w:val="22"/>
        </w:rPr>
      </w:pPr>
      <w:r w:rsidRPr="00A539F5">
        <w:rPr>
          <w:b/>
          <w:sz w:val="22"/>
          <w:szCs w:val="22"/>
        </w:rPr>
        <w:t>В Разделе 2 «Предмет и услов</w:t>
      </w:r>
      <w:r w:rsidR="0063603B" w:rsidRPr="00A539F5">
        <w:rPr>
          <w:b/>
          <w:sz w:val="22"/>
          <w:szCs w:val="22"/>
        </w:rPr>
        <w:t>ия договора»</w:t>
      </w:r>
      <w:r w:rsidR="003F7B77">
        <w:rPr>
          <w:b/>
          <w:sz w:val="22"/>
          <w:szCs w:val="22"/>
        </w:rPr>
        <w:t>:</w:t>
      </w:r>
    </w:p>
    <w:p w:rsidR="00617B9E" w:rsidRDefault="003F7B77" w:rsidP="003F7B77">
      <w:pPr>
        <w:pStyle w:val="a5"/>
        <w:tabs>
          <w:tab w:val="left" w:pos="993"/>
        </w:tabs>
        <w:suppressAutoHyphens/>
        <w:spacing w:line="264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3603B">
        <w:rPr>
          <w:sz w:val="22"/>
          <w:szCs w:val="22"/>
        </w:rPr>
        <w:t>ункт 2.6 дополнен</w:t>
      </w:r>
      <w:r w:rsidR="00B21287">
        <w:rPr>
          <w:sz w:val="22"/>
          <w:szCs w:val="22"/>
        </w:rPr>
        <w:t xml:space="preserve"> вторым абзацем следующего содержания:</w:t>
      </w:r>
    </w:p>
    <w:p w:rsidR="00B21287" w:rsidRPr="00B21287" w:rsidRDefault="00B21287" w:rsidP="00B21287">
      <w:pPr>
        <w:suppressAutoHyphens/>
        <w:spacing w:line="264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Pr="00B21287">
        <w:rPr>
          <w:sz w:val="22"/>
          <w:szCs w:val="22"/>
        </w:rPr>
        <w:t xml:space="preserve">Приобретение Управляющим производных финансовых документов или ценных бумаг, по которым размер выплат зависит от наступления или ненаступления одного или нескольких обстоятельств, указанных в абзаце втором подпункта 23 пункта 1 статьи 2 Федерального закона от 22 апреля </w:t>
      </w:r>
      <w:smartTag w:uri="urn:schemas-microsoft-com:office:smarttags" w:element="metricconverter">
        <w:smartTagPr>
          <w:attr w:name="ProductID" w:val="1996 г"/>
        </w:smartTagPr>
        <w:r w:rsidRPr="00B21287">
          <w:rPr>
            <w:sz w:val="22"/>
            <w:szCs w:val="22"/>
          </w:rPr>
          <w:t>1996 г</w:t>
        </w:r>
      </w:smartTag>
      <w:r w:rsidRPr="00B21287">
        <w:rPr>
          <w:sz w:val="22"/>
          <w:szCs w:val="22"/>
        </w:rPr>
        <w:t>. № 39-ФЗ «О рынке ценных бумаг»</w:t>
      </w:r>
      <w:r w:rsidRPr="00B21287">
        <w:rPr>
          <w:sz w:val="22"/>
          <w:szCs w:val="22"/>
          <w:shd w:val="clear" w:color="auto" w:fill="FFFFFF"/>
        </w:rPr>
        <w:t>, в состав Инвестиционного портфеля Учредителя управления – физического лица, не являющегося квалифицированным инвестором, не допускается.</w:t>
      </w:r>
      <w:r>
        <w:rPr>
          <w:sz w:val="22"/>
          <w:szCs w:val="22"/>
          <w:shd w:val="clear" w:color="auto" w:fill="FFFFFF"/>
        </w:rPr>
        <w:t>».</w:t>
      </w:r>
    </w:p>
    <w:p w:rsidR="00B21287" w:rsidRPr="00B21287" w:rsidRDefault="00B21287" w:rsidP="00B21287">
      <w:pPr>
        <w:suppressAutoHyphens/>
        <w:spacing w:line="264" w:lineRule="auto"/>
        <w:jc w:val="both"/>
        <w:rPr>
          <w:sz w:val="12"/>
          <w:szCs w:val="12"/>
        </w:rPr>
      </w:pPr>
    </w:p>
    <w:p w:rsidR="00A539F5" w:rsidRPr="00A539F5" w:rsidRDefault="00087147" w:rsidP="00B21287">
      <w:pPr>
        <w:pStyle w:val="a5"/>
        <w:numPr>
          <w:ilvl w:val="0"/>
          <w:numId w:val="1"/>
        </w:numPr>
        <w:tabs>
          <w:tab w:val="left" w:pos="993"/>
        </w:tabs>
        <w:suppressAutoHyphens/>
        <w:spacing w:line="264" w:lineRule="auto"/>
        <w:ind w:left="0" w:firstLine="709"/>
        <w:jc w:val="both"/>
        <w:rPr>
          <w:b/>
          <w:sz w:val="22"/>
          <w:szCs w:val="22"/>
        </w:rPr>
      </w:pPr>
      <w:r w:rsidRPr="00A539F5">
        <w:rPr>
          <w:b/>
          <w:sz w:val="22"/>
          <w:szCs w:val="22"/>
        </w:rPr>
        <w:t>В Разделе 5 «Возврат из доверительного управления объектов доверительного управления»</w:t>
      </w:r>
      <w:r w:rsidR="00A539F5" w:rsidRPr="00A539F5">
        <w:rPr>
          <w:b/>
          <w:sz w:val="22"/>
          <w:szCs w:val="22"/>
        </w:rPr>
        <w:t>:</w:t>
      </w:r>
    </w:p>
    <w:p w:rsidR="00B21287" w:rsidRDefault="00A539F5" w:rsidP="00A539F5">
      <w:pPr>
        <w:pStyle w:val="a5"/>
        <w:tabs>
          <w:tab w:val="left" w:pos="993"/>
        </w:tabs>
        <w:suppressAutoHyphens/>
        <w:spacing w:line="264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087147">
        <w:rPr>
          <w:sz w:val="22"/>
          <w:szCs w:val="22"/>
        </w:rPr>
        <w:t>ункт 5.2 изложен в следующей редакции:</w:t>
      </w:r>
    </w:p>
    <w:p w:rsidR="00087147" w:rsidRPr="009A326E" w:rsidRDefault="00087147" w:rsidP="00087147">
      <w:pPr>
        <w:shd w:val="clear" w:color="auto" w:fill="FFFFFF" w:themeFill="background1"/>
        <w:suppressAutoHyphens/>
        <w:spacing w:line="264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Pr="009A326E">
        <w:rPr>
          <w:sz w:val="22"/>
          <w:szCs w:val="22"/>
        </w:rPr>
        <w:t>5.2. Частичный возврат объектов доверительного управления, в том числе предусмотренный Инвестиционной декларацией, в течение срока действия Договора осуществляется Управляющим на основании:</w:t>
      </w:r>
    </w:p>
    <w:p w:rsidR="00087147" w:rsidRPr="009A326E" w:rsidRDefault="00087147" w:rsidP="00087147">
      <w:pPr>
        <w:shd w:val="clear" w:color="auto" w:fill="FFFFFF" w:themeFill="background1"/>
        <w:suppressAutoHyphens/>
        <w:spacing w:line="264" w:lineRule="auto"/>
        <w:ind w:firstLine="709"/>
        <w:jc w:val="both"/>
        <w:rPr>
          <w:sz w:val="22"/>
          <w:szCs w:val="22"/>
        </w:rPr>
      </w:pPr>
      <w:r w:rsidRPr="009A326E">
        <w:rPr>
          <w:sz w:val="22"/>
          <w:szCs w:val="22"/>
        </w:rPr>
        <w:t>- Поручения клиента на отзыв денежных средств, составленного по форме Приложения № 8 к Регламенту;</w:t>
      </w:r>
    </w:p>
    <w:p w:rsidR="00087147" w:rsidRPr="009A326E" w:rsidRDefault="00087147" w:rsidP="00087147">
      <w:pPr>
        <w:shd w:val="clear" w:color="auto" w:fill="FFFFFF" w:themeFill="background1"/>
        <w:suppressAutoHyphens/>
        <w:spacing w:line="264" w:lineRule="auto"/>
        <w:ind w:firstLine="709"/>
        <w:jc w:val="both"/>
        <w:rPr>
          <w:sz w:val="22"/>
          <w:szCs w:val="22"/>
        </w:rPr>
      </w:pPr>
      <w:r w:rsidRPr="009A326E">
        <w:rPr>
          <w:sz w:val="22"/>
          <w:szCs w:val="22"/>
        </w:rPr>
        <w:t>- Поручения клиента на операции с ценными бумагами, составленного по форме Приложения № 9 к Регламенту.</w:t>
      </w:r>
    </w:p>
    <w:p w:rsidR="00087147" w:rsidRPr="00446C6F" w:rsidRDefault="00087147" w:rsidP="00087147">
      <w:pPr>
        <w:shd w:val="clear" w:color="auto" w:fill="FFFFFF" w:themeFill="background1"/>
        <w:suppressAutoHyphens/>
        <w:spacing w:line="264" w:lineRule="auto"/>
        <w:ind w:firstLine="709"/>
        <w:jc w:val="both"/>
        <w:rPr>
          <w:sz w:val="22"/>
          <w:szCs w:val="22"/>
        </w:rPr>
      </w:pPr>
      <w:r w:rsidRPr="006A6317">
        <w:rPr>
          <w:sz w:val="22"/>
          <w:szCs w:val="22"/>
        </w:rPr>
        <w:t xml:space="preserve">При этом возврат ценных бумаг осуществляется </w:t>
      </w:r>
      <w:r w:rsidRPr="006A6317">
        <w:rPr>
          <w:b/>
          <w:sz w:val="22"/>
          <w:szCs w:val="22"/>
          <w:u w:val="single"/>
        </w:rPr>
        <w:t>только при условии</w:t>
      </w:r>
      <w:r w:rsidRPr="006A6317">
        <w:rPr>
          <w:sz w:val="22"/>
          <w:szCs w:val="22"/>
        </w:rPr>
        <w:t>, что Управляющим в отношении Учредителя управления</w:t>
      </w:r>
      <w:r w:rsidR="0063603B">
        <w:rPr>
          <w:sz w:val="22"/>
          <w:szCs w:val="22"/>
        </w:rPr>
        <w:t xml:space="preserve"> - </w:t>
      </w:r>
      <w:r w:rsidRPr="006A6317">
        <w:rPr>
          <w:sz w:val="22"/>
          <w:szCs w:val="22"/>
        </w:rPr>
        <w:t xml:space="preserve">физического лица, не являющегося Квалифицированным инвестором, вынесено мотивированное суждение о способности такого Учредителя управления самостоятельно управлять ценными бумагами, приобретенными в доверительное управление. </w:t>
      </w:r>
    </w:p>
    <w:p w:rsidR="00087147" w:rsidRPr="009A326E" w:rsidRDefault="00087147" w:rsidP="00087147">
      <w:pPr>
        <w:shd w:val="clear" w:color="auto" w:fill="FFFFFF" w:themeFill="background1"/>
        <w:suppressAutoHyphens/>
        <w:spacing w:line="264" w:lineRule="auto"/>
        <w:ind w:firstLine="709"/>
        <w:jc w:val="both"/>
        <w:rPr>
          <w:sz w:val="22"/>
          <w:szCs w:val="22"/>
        </w:rPr>
      </w:pPr>
      <w:r w:rsidRPr="006A6317">
        <w:rPr>
          <w:sz w:val="22"/>
          <w:szCs w:val="22"/>
        </w:rPr>
        <w:t>Порядок определения способности Учредителя управления</w:t>
      </w:r>
      <w:r>
        <w:rPr>
          <w:sz w:val="22"/>
          <w:szCs w:val="22"/>
        </w:rPr>
        <w:t xml:space="preserve"> – физического лица</w:t>
      </w:r>
      <w:r w:rsidRPr="006A6317">
        <w:rPr>
          <w:sz w:val="22"/>
          <w:szCs w:val="22"/>
        </w:rPr>
        <w:t>, не являющегося Квалифицированным инвестором, самостоятельно управлять ценными бумагами, приобретенными в доверительное управление, установлен Положением об определении инвестиционного профиля учредителя управления в Акционерном обществе «СЕВЕРГАЗБАНК».</w:t>
      </w:r>
    </w:p>
    <w:p w:rsidR="00087147" w:rsidRDefault="00087147" w:rsidP="00087147">
      <w:pPr>
        <w:tabs>
          <w:tab w:val="left" w:pos="993"/>
        </w:tabs>
        <w:suppressAutoHyphens/>
        <w:spacing w:line="264" w:lineRule="auto"/>
        <w:jc w:val="both"/>
        <w:rPr>
          <w:sz w:val="22"/>
          <w:szCs w:val="22"/>
        </w:rPr>
      </w:pPr>
      <w:r w:rsidRPr="009A326E">
        <w:rPr>
          <w:sz w:val="22"/>
          <w:szCs w:val="22"/>
        </w:rPr>
        <w:t>В противном случае Поручение клиента на операции с ценными бумагами Управляющим не регистрируется и не исполняется.</w:t>
      </w:r>
      <w:r>
        <w:rPr>
          <w:sz w:val="22"/>
          <w:szCs w:val="22"/>
        </w:rPr>
        <w:t>»</w:t>
      </w:r>
    </w:p>
    <w:p w:rsidR="00087147" w:rsidRDefault="00087147" w:rsidP="00087147">
      <w:pPr>
        <w:tabs>
          <w:tab w:val="left" w:pos="709"/>
        </w:tabs>
        <w:suppressAutoHyphens/>
        <w:spacing w:line="264" w:lineRule="auto"/>
        <w:jc w:val="both"/>
        <w:rPr>
          <w:sz w:val="12"/>
          <w:szCs w:val="12"/>
        </w:rPr>
      </w:pPr>
    </w:p>
    <w:p w:rsidR="006858FD" w:rsidRDefault="006858FD" w:rsidP="00087147">
      <w:pPr>
        <w:tabs>
          <w:tab w:val="left" w:pos="709"/>
        </w:tabs>
        <w:suppressAutoHyphens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Пункт 5.4 изложен в следующей редакции:</w:t>
      </w:r>
    </w:p>
    <w:p w:rsidR="006858FD" w:rsidRPr="009A326E" w:rsidRDefault="006858FD" w:rsidP="006858FD">
      <w:pPr>
        <w:tabs>
          <w:tab w:val="left" w:pos="6235"/>
        </w:tabs>
        <w:suppressAutoHyphens/>
        <w:spacing w:line="264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Pr="009A326E">
        <w:rPr>
          <w:sz w:val="22"/>
          <w:szCs w:val="22"/>
        </w:rPr>
        <w:t>5.4. Управляющий возвращает Учредителю управления объекты доверительного управления, указанные в Требовании, в соответствии с порядком, установленным настоящим Регламентом, и в сроки, установленные в Инвестиционной декларации.</w:t>
      </w:r>
    </w:p>
    <w:p w:rsidR="006858FD" w:rsidRPr="009A326E" w:rsidRDefault="006858FD" w:rsidP="006858FD">
      <w:pPr>
        <w:tabs>
          <w:tab w:val="left" w:pos="6235"/>
        </w:tabs>
        <w:suppressAutoHyphens/>
        <w:spacing w:line="264" w:lineRule="auto"/>
        <w:ind w:firstLine="709"/>
        <w:jc w:val="both"/>
        <w:rPr>
          <w:sz w:val="22"/>
          <w:szCs w:val="22"/>
        </w:rPr>
      </w:pPr>
      <w:r w:rsidRPr="009A326E">
        <w:rPr>
          <w:sz w:val="22"/>
          <w:szCs w:val="22"/>
        </w:rPr>
        <w:t>Возврат объектов доверительного управления</w:t>
      </w:r>
      <w:r>
        <w:rPr>
          <w:sz w:val="22"/>
          <w:szCs w:val="22"/>
        </w:rPr>
        <w:t>, в том числе частичный,</w:t>
      </w:r>
      <w:r w:rsidRPr="009A326E">
        <w:rPr>
          <w:sz w:val="22"/>
          <w:szCs w:val="22"/>
        </w:rPr>
        <w:t xml:space="preserve"> по Договорам доверительного управления, заключенным до 01 января 2025 года, осуществляется с учетом следующего:</w:t>
      </w:r>
    </w:p>
    <w:p w:rsidR="006858FD" w:rsidRPr="009A326E" w:rsidRDefault="006858FD" w:rsidP="006858FD">
      <w:pPr>
        <w:numPr>
          <w:ilvl w:val="1"/>
          <w:numId w:val="2"/>
        </w:numPr>
        <w:tabs>
          <w:tab w:val="num" w:pos="900"/>
          <w:tab w:val="num" w:pos="1080"/>
        </w:tabs>
        <w:suppressAutoHyphens/>
        <w:spacing w:line="264" w:lineRule="auto"/>
        <w:ind w:left="0" w:firstLine="709"/>
        <w:jc w:val="both"/>
        <w:rPr>
          <w:sz w:val="22"/>
          <w:szCs w:val="22"/>
        </w:rPr>
      </w:pPr>
      <w:r w:rsidRPr="009A326E">
        <w:rPr>
          <w:sz w:val="22"/>
          <w:szCs w:val="22"/>
        </w:rPr>
        <w:t>по условиям Стандартной стратегии «Всегда в плюсе» - в течение 1 (одного) рабочего дня с даты получения Требования при условии предоставления последнего в Банк до 11 часов московского времени, в остальных случаях – в течение 2 (двух) рабочих дней с даты получения Требования;</w:t>
      </w:r>
    </w:p>
    <w:p w:rsidR="006858FD" w:rsidRPr="009A326E" w:rsidRDefault="006858FD" w:rsidP="006858FD">
      <w:pPr>
        <w:numPr>
          <w:ilvl w:val="1"/>
          <w:numId w:val="2"/>
        </w:numPr>
        <w:tabs>
          <w:tab w:val="num" w:pos="900"/>
          <w:tab w:val="num" w:pos="1080"/>
        </w:tabs>
        <w:suppressAutoHyphens/>
        <w:spacing w:line="264" w:lineRule="auto"/>
        <w:ind w:left="0" w:firstLine="709"/>
        <w:jc w:val="both"/>
        <w:rPr>
          <w:sz w:val="22"/>
          <w:szCs w:val="22"/>
        </w:rPr>
      </w:pPr>
      <w:r w:rsidRPr="009A326E">
        <w:rPr>
          <w:sz w:val="22"/>
          <w:szCs w:val="22"/>
        </w:rPr>
        <w:t>по условиям Стандартной стратегии «</w:t>
      </w:r>
      <w:r>
        <w:rPr>
          <w:sz w:val="22"/>
          <w:szCs w:val="22"/>
        </w:rPr>
        <w:t>Искусственный интеллект</w:t>
      </w:r>
      <w:r w:rsidRPr="009A326E">
        <w:rPr>
          <w:sz w:val="22"/>
          <w:szCs w:val="22"/>
        </w:rPr>
        <w:t>»</w:t>
      </w:r>
      <w:r>
        <w:rPr>
          <w:sz w:val="22"/>
          <w:szCs w:val="22"/>
        </w:rPr>
        <w:t xml:space="preserve"> -</w:t>
      </w:r>
      <w:r w:rsidRPr="009A326E">
        <w:rPr>
          <w:sz w:val="22"/>
          <w:szCs w:val="22"/>
        </w:rPr>
        <w:t xml:space="preserve"> в течение 5 (пяти) рабочих дней с даты получения Требования;</w:t>
      </w:r>
    </w:p>
    <w:p w:rsidR="006858FD" w:rsidRPr="009A326E" w:rsidRDefault="006858FD" w:rsidP="006858FD">
      <w:pPr>
        <w:numPr>
          <w:ilvl w:val="1"/>
          <w:numId w:val="2"/>
        </w:numPr>
        <w:tabs>
          <w:tab w:val="num" w:pos="900"/>
          <w:tab w:val="num" w:pos="1080"/>
        </w:tabs>
        <w:suppressAutoHyphens/>
        <w:spacing w:line="264" w:lineRule="auto"/>
        <w:ind w:left="0" w:firstLine="709"/>
        <w:jc w:val="both"/>
        <w:rPr>
          <w:sz w:val="22"/>
          <w:szCs w:val="22"/>
        </w:rPr>
      </w:pPr>
      <w:r w:rsidRPr="009A326E">
        <w:rPr>
          <w:sz w:val="22"/>
          <w:szCs w:val="22"/>
        </w:rPr>
        <w:t>в случае досрочного расторжения Договора - не позднее даты прекращения Договора.</w:t>
      </w:r>
      <w:r>
        <w:rPr>
          <w:sz w:val="22"/>
          <w:szCs w:val="22"/>
        </w:rPr>
        <w:t>».</w:t>
      </w:r>
    </w:p>
    <w:p w:rsidR="006858FD" w:rsidRDefault="006858FD" w:rsidP="006858FD">
      <w:pPr>
        <w:tabs>
          <w:tab w:val="left" w:pos="709"/>
        </w:tabs>
        <w:suppressAutoHyphens/>
        <w:spacing w:line="264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 пункте 5.5 последний абзац удален.</w:t>
      </w:r>
    </w:p>
    <w:p w:rsidR="006858FD" w:rsidRPr="00087147" w:rsidRDefault="006858FD" w:rsidP="00087147">
      <w:pPr>
        <w:tabs>
          <w:tab w:val="left" w:pos="709"/>
        </w:tabs>
        <w:suppressAutoHyphens/>
        <w:spacing w:line="264" w:lineRule="auto"/>
        <w:jc w:val="both"/>
        <w:rPr>
          <w:sz w:val="12"/>
          <w:szCs w:val="12"/>
        </w:rPr>
      </w:pPr>
    </w:p>
    <w:p w:rsidR="0075630D" w:rsidRDefault="0075630D" w:rsidP="0075630D">
      <w:pPr>
        <w:tabs>
          <w:tab w:val="left" w:pos="709"/>
        </w:tabs>
        <w:suppressAutoHyphens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Пункт 5.6 изложен в следующей редакции:</w:t>
      </w:r>
    </w:p>
    <w:p w:rsidR="0075630D" w:rsidRDefault="0075630D" w:rsidP="0075630D">
      <w:pPr>
        <w:suppressAutoHyphens/>
        <w:ind w:firstLine="709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«</w:t>
      </w:r>
      <w:r w:rsidRPr="009A326E">
        <w:rPr>
          <w:bCs/>
          <w:iCs/>
          <w:sz w:val="22"/>
          <w:szCs w:val="22"/>
        </w:rPr>
        <w:t xml:space="preserve">5.6. </w:t>
      </w:r>
      <w:r w:rsidRPr="009A326E">
        <w:rPr>
          <w:sz w:val="22"/>
          <w:szCs w:val="22"/>
        </w:rPr>
        <w:t>Поручени</w:t>
      </w:r>
      <w:r>
        <w:rPr>
          <w:sz w:val="22"/>
          <w:szCs w:val="22"/>
        </w:rPr>
        <w:t>е</w:t>
      </w:r>
      <w:r w:rsidRPr="009A326E">
        <w:rPr>
          <w:sz w:val="22"/>
          <w:szCs w:val="22"/>
        </w:rPr>
        <w:t xml:space="preserve"> клиента на отзыв денежных средств и Поручени</w:t>
      </w:r>
      <w:r>
        <w:rPr>
          <w:sz w:val="22"/>
          <w:szCs w:val="22"/>
        </w:rPr>
        <w:t>е</w:t>
      </w:r>
      <w:r w:rsidRPr="009A326E">
        <w:rPr>
          <w:sz w:val="22"/>
          <w:szCs w:val="22"/>
        </w:rPr>
        <w:t xml:space="preserve"> клиента на операции с ценными бумагами </w:t>
      </w:r>
      <w:r>
        <w:rPr>
          <w:sz w:val="22"/>
          <w:szCs w:val="22"/>
        </w:rPr>
        <w:t>могут быть направлены Учредителем Управления</w:t>
      </w:r>
      <w:r w:rsidRPr="009A326E">
        <w:rPr>
          <w:sz w:val="22"/>
          <w:szCs w:val="22"/>
        </w:rPr>
        <w:t xml:space="preserve"> Управляющ</w:t>
      </w:r>
      <w:r>
        <w:rPr>
          <w:sz w:val="22"/>
          <w:szCs w:val="22"/>
        </w:rPr>
        <w:t xml:space="preserve">ему </w:t>
      </w:r>
      <w:r>
        <w:rPr>
          <w:bCs/>
          <w:sz w:val="22"/>
          <w:szCs w:val="22"/>
        </w:rPr>
        <w:t>по электронной почте.».</w:t>
      </w:r>
    </w:p>
    <w:p w:rsidR="006A3D81" w:rsidRPr="00FC5B4B" w:rsidRDefault="006A3D81" w:rsidP="006A3D81">
      <w:pPr>
        <w:tabs>
          <w:tab w:val="left" w:pos="993"/>
        </w:tabs>
        <w:suppressAutoHyphens/>
        <w:spacing w:line="264" w:lineRule="auto"/>
        <w:jc w:val="both"/>
        <w:rPr>
          <w:sz w:val="12"/>
          <w:szCs w:val="12"/>
        </w:rPr>
      </w:pPr>
    </w:p>
    <w:p w:rsidR="007B2DA4" w:rsidRDefault="002D7D02" w:rsidP="00FC5B4B">
      <w:pPr>
        <w:pStyle w:val="a5"/>
        <w:numPr>
          <w:ilvl w:val="0"/>
          <w:numId w:val="1"/>
        </w:numPr>
        <w:tabs>
          <w:tab w:val="left" w:pos="993"/>
        </w:tabs>
        <w:suppressAutoHyphens/>
        <w:spacing w:line="264" w:lineRule="auto"/>
        <w:ind w:left="0" w:firstLine="709"/>
        <w:jc w:val="both"/>
        <w:rPr>
          <w:sz w:val="22"/>
          <w:szCs w:val="22"/>
        </w:rPr>
      </w:pPr>
      <w:r w:rsidRPr="007B2DA4">
        <w:rPr>
          <w:b/>
          <w:sz w:val="22"/>
          <w:szCs w:val="22"/>
        </w:rPr>
        <w:t>В раздел 9 «</w:t>
      </w:r>
      <w:r w:rsidR="006609FD" w:rsidRPr="007B2DA4">
        <w:rPr>
          <w:b/>
          <w:sz w:val="22"/>
          <w:szCs w:val="22"/>
        </w:rPr>
        <w:t>Информация</w:t>
      </w:r>
      <w:r w:rsidRPr="007B2DA4">
        <w:rPr>
          <w:b/>
          <w:sz w:val="22"/>
          <w:szCs w:val="22"/>
        </w:rPr>
        <w:t xml:space="preserve"> и отчеты о деятельности управляющего»</w:t>
      </w:r>
      <w:r w:rsidRPr="00FC5B4B">
        <w:rPr>
          <w:sz w:val="22"/>
          <w:szCs w:val="22"/>
        </w:rPr>
        <w:t xml:space="preserve"> внесены изменения в части одобрения Отчета о деятельности управляющего. Подписание отчета учредителем управления больше не требуется.</w:t>
      </w:r>
      <w:r w:rsidR="00FC5B4B" w:rsidRPr="00FC5B4B">
        <w:rPr>
          <w:sz w:val="22"/>
          <w:szCs w:val="22"/>
        </w:rPr>
        <w:t xml:space="preserve"> </w:t>
      </w:r>
    </w:p>
    <w:p w:rsidR="002D7D02" w:rsidRDefault="002D7D02" w:rsidP="007B2DA4">
      <w:pPr>
        <w:pStyle w:val="a5"/>
        <w:tabs>
          <w:tab w:val="left" w:pos="993"/>
        </w:tabs>
        <w:suppressAutoHyphens/>
        <w:spacing w:line="264" w:lineRule="auto"/>
        <w:ind w:left="709"/>
        <w:jc w:val="both"/>
        <w:rPr>
          <w:sz w:val="22"/>
          <w:szCs w:val="22"/>
        </w:rPr>
      </w:pPr>
      <w:r w:rsidRPr="00FC5B4B">
        <w:rPr>
          <w:sz w:val="22"/>
          <w:szCs w:val="22"/>
        </w:rPr>
        <w:t xml:space="preserve">Пункт 9.5 удален, нумерация последующих </w:t>
      </w:r>
      <w:r w:rsidR="00FC5B4B" w:rsidRPr="00FC5B4B">
        <w:rPr>
          <w:sz w:val="22"/>
          <w:szCs w:val="22"/>
        </w:rPr>
        <w:t>пунктов изменена.</w:t>
      </w:r>
    </w:p>
    <w:p w:rsidR="006520AC" w:rsidRDefault="006520AC" w:rsidP="006520AC">
      <w:pPr>
        <w:pStyle w:val="a3"/>
        <w:suppressAutoHyphens/>
        <w:spacing w:before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Раздел дополнен пунктом следующего содержания:</w:t>
      </w:r>
    </w:p>
    <w:p w:rsidR="006520AC" w:rsidRDefault="006520AC" w:rsidP="006520AC">
      <w:pPr>
        <w:pStyle w:val="a3"/>
        <w:suppressAutoHyphens/>
        <w:spacing w:before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«</w:t>
      </w:r>
      <w:r w:rsidRPr="00EB6EB1">
        <w:rPr>
          <w:sz w:val="22"/>
          <w:szCs w:val="22"/>
        </w:rPr>
        <w:t>9.</w:t>
      </w:r>
      <w:r>
        <w:rPr>
          <w:sz w:val="22"/>
          <w:szCs w:val="22"/>
        </w:rPr>
        <w:t xml:space="preserve">15. Управляющий </w:t>
      </w:r>
      <w:r w:rsidRPr="00EB6EB1">
        <w:rPr>
          <w:sz w:val="22"/>
          <w:szCs w:val="22"/>
        </w:rPr>
        <w:t>хранит Отчеты, пред</w:t>
      </w:r>
      <w:r>
        <w:rPr>
          <w:sz w:val="22"/>
          <w:szCs w:val="22"/>
        </w:rPr>
        <w:t>о</w:t>
      </w:r>
      <w:r w:rsidRPr="00EB6EB1">
        <w:rPr>
          <w:sz w:val="22"/>
          <w:szCs w:val="22"/>
        </w:rPr>
        <w:t>ставленные Учредителю управления, а также поступившие от Учредителя управления возражения и отве</w:t>
      </w:r>
      <w:r>
        <w:rPr>
          <w:sz w:val="22"/>
          <w:szCs w:val="22"/>
        </w:rPr>
        <w:t>ты в течение 5 (Пяти) лет с даты прекращения Договора доверительного управления.</w:t>
      </w:r>
    </w:p>
    <w:p w:rsidR="006520AC" w:rsidRDefault="006520AC" w:rsidP="006520AC">
      <w:pPr>
        <w:pStyle w:val="a3"/>
        <w:suppressAutoHyphens/>
        <w:spacing w:before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B6EB1">
        <w:rPr>
          <w:sz w:val="22"/>
          <w:szCs w:val="22"/>
        </w:rPr>
        <w:t xml:space="preserve">Документы и записи об </w:t>
      </w:r>
      <w:r>
        <w:rPr>
          <w:sz w:val="22"/>
          <w:szCs w:val="22"/>
        </w:rPr>
        <w:t>Инвестиционном портфеле Учредителя управления</w:t>
      </w:r>
      <w:r w:rsidRPr="00EB6EB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EB6EB1">
        <w:rPr>
          <w:sz w:val="22"/>
          <w:szCs w:val="22"/>
        </w:rPr>
        <w:t xml:space="preserve">а также о </w:t>
      </w:r>
      <w:r w:rsidRPr="008009CF">
        <w:rPr>
          <w:sz w:val="22"/>
          <w:szCs w:val="22"/>
        </w:rPr>
        <w:t xml:space="preserve">сделках, совершенных за счет этого Инвестиционного портфеля, подлежат хранению в течение </w:t>
      </w:r>
      <w:r w:rsidRPr="008009CF">
        <w:rPr>
          <w:color w:val="22272F"/>
          <w:sz w:val="22"/>
          <w:szCs w:val="22"/>
          <w:shd w:val="clear" w:color="auto" w:fill="FFFFFF"/>
        </w:rPr>
        <w:t xml:space="preserve">не менее пяти лет с даты их получения или составления </w:t>
      </w:r>
      <w:r>
        <w:rPr>
          <w:color w:val="22272F"/>
          <w:sz w:val="22"/>
          <w:szCs w:val="22"/>
          <w:shd w:val="clear" w:color="auto" w:fill="FFFFFF"/>
        </w:rPr>
        <w:t>У</w:t>
      </w:r>
      <w:r w:rsidRPr="008009CF">
        <w:rPr>
          <w:color w:val="22272F"/>
          <w:sz w:val="22"/>
          <w:szCs w:val="22"/>
          <w:shd w:val="clear" w:color="auto" w:fill="FFFFFF"/>
        </w:rPr>
        <w:t>правляющим</w:t>
      </w:r>
      <w:r w:rsidRPr="008009CF">
        <w:rPr>
          <w:sz w:val="22"/>
          <w:szCs w:val="22"/>
        </w:rPr>
        <w:t>.</w:t>
      </w:r>
      <w:r>
        <w:rPr>
          <w:sz w:val="22"/>
          <w:szCs w:val="22"/>
        </w:rPr>
        <w:t>»</w:t>
      </w:r>
    </w:p>
    <w:p w:rsidR="006520AC" w:rsidRPr="006520AC" w:rsidRDefault="006520AC" w:rsidP="006520AC">
      <w:pPr>
        <w:tabs>
          <w:tab w:val="left" w:pos="993"/>
        </w:tabs>
        <w:suppressAutoHyphens/>
        <w:spacing w:line="264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6520AC">
        <w:rPr>
          <w:sz w:val="22"/>
          <w:szCs w:val="22"/>
        </w:rPr>
        <w:t>умерация последующих пунктов изменена.</w:t>
      </w:r>
    </w:p>
    <w:p w:rsidR="00FC5B4B" w:rsidRPr="00FC5B4B" w:rsidRDefault="00FC5B4B" w:rsidP="00FC5B4B">
      <w:pPr>
        <w:tabs>
          <w:tab w:val="left" w:pos="993"/>
        </w:tabs>
        <w:suppressAutoHyphens/>
        <w:spacing w:line="264" w:lineRule="auto"/>
        <w:jc w:val="both"/>
        <w:rPr>
          <w:sz w:val="12"/>
          <w:szCs w:val="12"/>
        </w:rPr>
      </w:pPr>
    </w:p>
    <w:p w:rsidR="00660273" w:rsidRDefault="00B81437" w:rsidP="00B81437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264" w:lineRule="auto"/>
        <w:ind w:left="0" w:firstLine="709"/>
        <w:jc w:val="both"/>
        <w:rPr>
          <w:sz w:val="22"/>
          <w:szCs w:val="22"/>
        </w:rPr>
      </w:pPr>
      <w:r w:rsidRPr="00B81437">
        <w:rPr>
          <w:b/>
          <w:sz w:val="22"/>
          <w:szCs w:val="22"/>
        </w:rPr>
        <w:t>В разделе 14 «Срок действия, порядок изменения и расторжения договора»</w:t>
      </w:r>
      <w:r>
        <w:rPr>
          <w:sz w:val="22"/>
          <w:szCs w:val="22"/>
        </w:rPr>
        <w:t xml:space="preserve"> п</w:t>
      </w:r>
      <w:r w:rsidR="00660273">
        <w:rPr>
          <w:sz w:val="22"/>
          <w:szCs w:val="22"/>
        </w:rPr>
        <w:t>ункт 14.6 изложен в следующей редакции:</w:t>
      </w:r>
    </w:p>
    <w:p w:rsidR="00660273" w:rsidRPr="00660273" w:rsidRDefault="00660273" w:rsidP="00660273">
      <w:pPr>
        <w:suppressAutoHyphens/>
        <w:adjustRightInd w:val="0"/>
        <w:spacing w:line="264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Pr="00660273">
        <w:rPr>
          <w:sz w:val="22"/>
          <w:szCs w:val="22"/>
        </w:rPr>
        <w:t>14.6. Основаниями пересмотра Индивидуального инвестиционного профиля Учредителя управления являются:</w:t>
      </w:r>
    </w:p>
    <w:p w:rsidR="00660273" w:rsidRPr="00660273" w:rsidRDefault="00660273" w:rsidP="00660273">
      <w:pPr>
        <w:pStyle w:val="a5"/>
        <w:suppressAutoHyphens/>
        <w:adjustRightInd w:val="0"/>
        <w:spacing w:line="264" w:lineRule="auto"/>
        <w:ind w:left="874"/>
        <w:jc w:val="both"/>
        <w:rPr>
          <w:sz w:val="22"/>
          <w:szCs w:val="22"/>
        </w:rPr>
      </w:pPr>
      <w:r w:rsidRPr="00660273">
        <w:rPr>
          <w:sz w:val="22"/>
          <w:szCs w:val="22"/>
        </w:rPr>
        <w:t>- требование Учредителя управления о повторном определении его Инвестиционного профиля в связи с изменением его инвестиционных целей;</w:t>
      </w:r>
    </w:p>
    <w:p w:rsidR="00660273" w:rsidRPr="00660273" w:rsidRDefault="00660273" w:rsidP="00660273">
      <w:pPr>
        <w:pStyle w:val="a5"/>
        <w:suppressAutoHyphens/>
        <w:adjustRightInd w:val="0"/>
        <w:spacing w:line="264" w:lineRule="auto"/>
        <w:ind w:left="874"/>
        <w:jc w:val="both"/>
        <w:rPr>
          <w:sz w:val="22"/>
          <w:szCs w:val="22"/>
        </w:rPr>
      </w:pPr>
      <w:r w:rsidRPr="00660273">
        <w:rPr>
          <w:sz w:val="22"/>
          <w:szCs w:val="22"/>
        </w:rPr>
        <w:t>- получение от Учредителя управления и (или) от третьих лиц сведений об уменьшении уровня Допустимого риска этого Учредителя управления.</w:t>
      </w:r>
      <w:r>
        <w:rPr>
          <w:sz w:val="22"/>
          <w:szCs w:val="22"/>
        </w:rPr>
        <w:t>».</w:t>
      </w:r>
    </w:p>
    <w:p w:rsidR="00660273" w:rsidRPr="00660273" w:rsidRDefault="00660273" w:rsidP="00660273">
      <w:pPr>
        <w:tabs>
          <w:tab w:val="left" w:pos="709"/>
          <w:tab w:val="left" w:pos="993"/>
        </w:tabs>
        <w:suppressAutoHyphens/>
        <w:spacing w:line="264" w:lineRule="auto"/>
        <w:jc w:val="both"/>
        <w:rPr>
          <w:sz w:val="12"/>
          <w:szCs w:val="12"/>
        </w:rPr>
      </w:pPr>
    </w:p>
    <w:p w:rsidR="00FC5B4B" w:rsidRPr="006520AC" w:rsidRDefault="00A0593F" w:rsidP="00E6039B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264" w:lineRule="auto"/>
        <w:ind w:left="0" w:firstLine="709"/>
        <w:jc w:val="both"/>
        <w:rPr>
          <w:sz w:val="22"/>
          <w:szCs w:val="22"/>
        </w:rPr>
      </w:pPr>
      <w:r w:rsidRPr="00E6039B">
        <w:rPr>
          <w:b/>
          <w:sz w:val="22"/>
          <w:szCs w:val="22"/>
        </w:rPr>
        <w:t>Изменения в приложения</w:t>
      </w:r>
      <w:r w:rsidRPr="006520AC">
        <w:rPr>
          <w:sz w:val="22"/>
          <w:szCs w:val="22"/>
        </w:rPr>
        <w:t>:</w:t>
      </w:r>
    </w:p>
    <w:p w:rsidR="00FC5B4B" w:rsidRDefault="006F43AE" w:rsidP="00FC5B4B">
      <w:pPr>
        <w:tabs>
          <w:tab w:val="left" w:pos="993"/>
        </w:tabs>
        <w:suppressAutoHyphens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609FD">
        <w:rPr>
          <w:sz w:val="22"/>
          <w:szCs w:val="22"/>
        </w:rPr>
        <w:t>.</w:t>
      </w:r>
      <w:r w:rsidR="00BF7BC7">
        <w:rPr>
          <w:sz w:val="22"/>
          <w:szCs w:val="22"/>
        </w:rPr>
        <w:t>1</w:t>
      </w:r>
      <w:r w:rsidR="006609FD">
        <w:rPr>
          <w:sz w:val="22"/>
          <w:szCs w:val="22"/>
        </w:rPr>
        <w:t>. Приложения 4а, 4б, 7 приведены в соответствие с Анкетами клиента</w:t>
      </w:r>
      <w:r w:rsidR="00B12294">
        <w:rPr>
          <w:sz w:val="22"/>
          <w:szCs w:val="22"/>
        </w:rPr>
        <w:t xml:space="preserve"> для определения инвестиционного профиля, являющимися нео</w:t>
      </w:r>
      <w:r w:rsidR="00403AEC">
        <w:rPr>
          <w:sz w:val="22"/>
          <w:szCs w:val="22"/>
        </w:rPr>
        <w:t>тъ</w:t>
      </w:r>
      <w:r w:rsidR="00B12294">
        <w:rPr>
          <w:sz w:val="22"/>
          <w:szCs w:val="22"/>
        </w:rPr>
        <w:t>емлемой частью Положения об определении инвестиционного профиля учредителя управления.</w:t>
      </w:r>
    </w:p>
    <w:p w:rsidR="00403AEC" w:rsidRDefault="006F43AE" w:rsidP="00FC5B4B">
      <w:pPr>
        <w:tabs>
          <w:tab w:val="left" w:pos="993"/>
        </w:tabs>
        <w:suppressAutoHyphens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03AEC">
        <w:rPr>
          <w:sz w:val="22"/>
          <w:szCs w:val="22"/>
        </w:rPr>
        <w:t>.</w:t>
      </w:r>
      <w:r w:rsidR="00BF7BC7">
        <w:rPr>
          <w:sz w:val="22"/>
          <w:szCs w:val="22"/>
        </w:rPr>
        <w:t>2</w:t>
      </w:r>
      <w:r w:rsidR="00403AEC">
        <w:rPr>
          <w:sz w:val="22"/>
          <w:szCs w:val="22"/>
        </w:rPr>
        <w:t>. Из приложения 3 «Стандартные стратегии управления» удалена информация о стандартных стратегиях «Стабильная», «Золотая» в связи с закрытием договоров, управление активами по которым осуществля</w:t>
      </w:r>
      <w:r w:rsidR="00BC46B3">
        <w:rPr>
          <w:sz w:val="22"/>
          <w:szCs w:val="22"/>
        </w:rPr>
        <w:t>лось</w:t>
      </w:r>
      <w:r w:rsidR="00403AEC">
        <w:rPr>
          <w:sz w:val="22"/>
          <w:szCs w:val="22"/>
        </w:rPr>
        <w:t xml:space="preserve"> в рамках данных стратегий.</w:t>
      </w:r>
    </w:p>
    <w:p w:rsidR="00BF7BC7" w:rsidRDefault="00BF7BC7" w:rsidP="00BF7BC7">
      <w:pPr>
        <w:tabs>
          <w:tab w:val="left" w:pos="993"/>
        </w:tabs>
        <w:suppressAutoHyphens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6.3. Согласие на обработку персональных данных вынесено в отдельные приложения №№ 18а, 18б в соответствии с требованиями законодательства. Ранее Согласие на обработку персональных данных входило в состав Заявления о присоединении.</w:t>
      </w:r>
    </w:p>
    <w:p w:rsidR="00BF7BC7" w:rsidRPr="00FC5B4B" w:rsidRDefault="00BF7BC7" w:rsidP="00FC5B4B">
      <w:pPr>
        <w:tabs>
          <w:tab w:val="left" w:pos="993"/>
        </w:tabs>
        <w:suppressAutoHyphens/>
        <w:spacing w:line="264" w:lineRule="auto"/>
        <w:jc w:val="both"/>
        <w:rPr>
          <w:sz w:val="22"/>
          <w:szCs w:val="22"/>
        </w:rPr>
      </w:pPr>
    </w:p>
    <w:sectPr w:rsidR="00BF7BC7" w:rsidRPr="00FC5B4B" w:rsidSect="00BB63AB">
      <w:pgSz w:w="11906" w:h="16838"/>
      <w:pgMar w:top="992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1D7"/>
    <w:multiLevelType w:val="hybridMultilevel"/>
    <w:tmpl w:val="B2FE2E6E"/>
    <w:lvl w:ilvl="0" w:tplc="1C8694CE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66815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523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8A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A5C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E9F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00E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4C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0CB1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13367"/>
    <w:multiLevelType w:val="hybridMultilevel"/>
    <w:tmpl w:val="8B7ECDF6"/>
    <w:lvl w:ilvl="0" w:tplc="CB924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95B3A"/>
    <w:multiLevelType w:val="multilevel"/>
    <w:tmpl w:val="286C3008"/>
    <w:lvl w:ilvl="0">
      <w:start w:val="1"/>
      <w:numFmt w:val="decimal"/>
      <w:lvlText w:val="%1."/>
      <w:lvlJc w:val="left"/>
      <w:pPr>
        <w:ind w:left="874" w:hanging="19"/>
      </w:pPr>
      <w:rPr>
        <w:rFonts w:cs="Times New Roman" w:hint="default"/>
        <w:b w:val="0"/>
      </w:rPr>
    </w:lvl>
    <w:lvl w:ilvl="1">
      <w:start w:val="6"/>
      <w:numFmt w:val="decimal"/>
      <w:isLgl/>
      <w:suff w:val="space"/>
      <w:lvlText w:val="%1.%2."/>
      <w:lvlJc w:val="left"/>
      <w:pPr>
        <w:ind w:left="1215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cs="Times New Roman" w:hint="default"/>
      </w:rPr>
    </w:lvl>
  </w:abstractNum>
  <w:abstractNum w:abstractNumId="3">
    <w:nsid w:val="14472860"/>
    <w:multiLevelType w:val="hybridMultilevel"/>
    <w:tmpl w:val="1A6A9C92"/>
    <w:lvl w:ilvl="0" w:tplc="CB924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15BB7"/>
    <w:multiLevelType w:val="hybridMultilevel"/>
    <w:tmpl w:val="9A9A9F92"/>
    <w:lvl w:ilvl="0" w:tplc="CB924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3649A"/>
    <w:multiLevelType w:val="hybridMultilevel"/>
    <w:tmpl w:val="DC44AE08"/>
    <w:lvl w:ilvl="0" w:tplc="7318C4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D196E"/>
    <w:multiLevelType w:val="hybridMultilevel"/>
    <w:tmpl w:val="8EC6E1C2"/>
    <w:lvl w:ilvl="0" w:tplc="46386A24">
      <w:start w:val="1"/>
      <w:numFmt w:val="bullet"/>
      <w:lvlText w:val="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4BD24CAE">
      <w:numFmt w:val="bullet"/>
      <w:lvlText w:val="-"/>
      <w:lvlJc w:val="left"/>
      <w:pPr>
        <w:tabs>
          <w:tab w:val="num" w:pos="927"/>
        </w:tabs>
        <w:ind w:left="567" w:firstLine="0"/>
      </w:pPr>
      <w:rPr>
        <w:rFonts w:ascii="Times New Roman" w:eastAsia="Times New Roman" w:hAnsi="Times New Roman" w:cs="Times New Roman" w:hint="default"/>
        <w:b/>
        <w:i w:val="0"/>
        <w:color w:val="auto"/>
        <w:sz w:val="28"/>
        <w:szCs w:val="24"/>
      </w:rPr>
    </w:lvl>
    <w:lvl w:ilvl="2" w:tplc="3DB48B1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C48A7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EF2C9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D44C8E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B5C20A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7ECD4F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8FAEA89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52C1228"/>
    <w:multiLevelType w:val="multilevel"/>
    <w:tmpl w:val="286C3008"/>
    <w:lvl w:ilvl="0">
      <w:start w:val="1"/>
      <w:numFmt w:val="decimal"/>
      <w:lvlText w:val="%1."/>
      <w:lvlJc w:val="left"/>
      <w:pPr>
        <w:ind w:left="874" w:hanging="19"/>
      </w:pPr>
      <w:rPr>
        <w:rFonts w:cs="Times New Roman" w:hint="default"/>
        <w:b w:val="0"/>
      </w:rPr>
    </w:lvl>
    <w:lvl w:ilvl="1">
      <w:start w:val="6"/>
      <w:numFmt w:val="decimal"/>
      <w:isLgl/>
      <w:suff w:val="space"/>
      <w:lvlText w:val="%1.%2."/>
      <w:lvlJc w:val="left"/>
      <w:pPr>
        <w:ind w:left="1215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cs="Times New Roman" w:hint="default"/>
      </w:rPr>
    </w:lvl>
  </w:abstractNum>
  <w:abstractNum w:abstractNumId="8">
    <w:nsid w:val="352E62F2"/>
    <w:multiLevelType w:val="hybridMultilevel"/>
    <w:tmpl w:val="E9AABB9A"/>
    <w:lvl w:ilvl="0" w:tplc="83C80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665E9"/>
    <w:multiLevelType w:val="hybridMultilevel"/>
    <w:tmpl w:val="4C3875DC"/>
    <w:lvl w:ilvl="0" w:tplc="BD04E4F4">
      <w:start w:val="1"/>
      <w:numFmt w:val="bullet"/>
      <w:lvlText w:val="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A643F"/>
    <w:multiLevelType w:val="hybridMultilevel"/>
    <w:tmpl w:val="0CCAFDE6"/>
    <w:lvl w:ilvl="0" w:tplc="83C80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CF5671"/>
    <w:multiLevelType w:val="multilevel"/>
    <w:tmpl w:val="0CB01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C461B3"/>
    <w:multiLevelType w:val="hybridMultilevel"/>
    <w:tmpl w:val="913C32CE"/>
    <w:lvl w:ilvl="0" w:tplc="83C80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161FC8"/>
    <w:multiLevelType w:val="hybridMultilevel"/>
    <w:tmpl w:val="703C1684"/>
    <w:lvl w:ilvl="0" w:tplc="83C80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13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757D5"/>
    <w:rsid w:val="00004805"/>
    <w:rsid w:val="000216AE"/>
    <w:rsid w:val="000257B2"/>
    <w:rsid w:val="000607FA"/>
    <w:rsid w:val="00087147"/>
    <w:rsid w:val="000B7F15"/>
    <w:rsid w:val="000C45D8"/>
    <w:rsid w:val="000F0436"/>
    <w:rsid w:val="00123C4C"/>
    <w:rsid w:val="00144651"/>
    <w:rsid w:val="001B54DC"/>
    <w:rsid w:val="001C2B2F"/>
    <w:rsid w:val="00216ADC"/>
    <w:rsid w:val="00231720"/>
    <w:rsid w:val="00253E84"/>
    <w:rsid w:val="002D7D02"/>
    <w:rsid w:val="00351099"/>
    <w:rsid w:val="00353EED"/>
    <w:rsid w:val="00394ADF"/>
    <w:rsid w:val="003F7B77"/>
    <w:rsid w:val="00403AEC"/>
    <w:rsid w:val="004E526F"/>
    <w:rsid w:val="0050110A"/>
    <w:rsid w:val="00581814"/>
    <w:rsid w:val="00617B9E"/>
    <w:rsid w:val="00632577"/>
    <w:rsid w:val="0063603B"/>
    <w:rsid w:val="006520AC"/>
    <w:rsid w:val="00660273"/>
    <w:rsid w:val="006609FD"/>
    <w:rsid w:val="00671154"/>
    <w:rsid w:val="006858FD"/>
    <w:rsid w:val="006A3D81"/>
    <w:rsid w:val="006A62D7"/>
    <w:rsid w:val="006C4C5F"/>
    <w:rsid w:val="006F43AE"/>
    <w:rsid w:val="00715672"/>
    <w:rsid w:val="0075630D"/>
    <w:rsid w:val="007757D5"/>
    <w:rsid w:val="007B2DA4"/>
    <w:rsid w:val="007C3A3A"/>
    <w:rsid w:val="007D4087"/>
    <w:rsid w:val="007F4E2B"/>
    <w:rsid w:val="0082677B"/>
    <w:rsid w:val="0085669F"/>
    <w:rsid w:val="008767AC"/>
    <w:rsid w:val="00880469"/>
    <w:rsid w:val="009A6623"/>
    <w:rsid w:val="009E1EE2"/>
    <w:rsid w:val="00A015A7"/>
    <w:rsid w:val="00A0593F"/>
    <w:rsid w:val="00A539F5"/>
    <w:rsid w:val="00AC1C40"/>
    <w:rsid w:val="00B12294"/>
    <w:rsid w:val="00B14979"/>
    <w:rsid w:val="00B21287"/>
    <w:rsid w:val="00B54115"/>
    <w:rsid w:val="00B81437"/>
    <w:rsid w:val="00B9487C"/>
    <w:rsid w:val="00BB2856"/>
    <w:rsid w:val="00BB63AB"/>
    <w:rsid w:val="00BC46B3"/>
    <w:rsid w:val="00BF324C"/>
    <w:rsid w:val="00BF7BC7"/>
    <w:rsid w:val="00C1239F"/>
    <w:rsid w:val="00C707D0"/>
    <w:rsid w:val="00C712F5"/>
    <w:rsid w:val="00C85DDD"/>
    <w:rsid w:val="00CE01D6"/>
    <w:rsid w:val="00CE162A"/>
    <w:rsid w:val="00D10B5F"/>
    <w:rsid w:val="00D75D64"/>
    <w:rsid w:val="00DA5B72"/>
    <w:rsid w:val="00DE0569"/>
    <w:rsid w:val="00E077E0"/>
    <w:rsid w:val="00E47A89"/>
    <w:rsid w:val="00E6039B"/>
    <w:rsid w:val="00E7548F"/>
    <w:rsid w:val="00F2624A"/>
    <w:rsid w:val="00F61194"/>
    <w:rsid w:val="00F6423E"/>
    <w:rsid w:val="00F77651"/>
    <w:rsid w:val="00F80568"/>
    <w:rsid w:val="00F94F39"/>
    <w:rsid w:val="00FC5B4B"/>
    <w:rsid w:val="00FD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D5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iPriority w:val="99"/>
    <w:rsid w:val="00CE162A"/>
    <w:pPr>
      <w:widowControl w:val="0"/>
      <w:tabs>
        <w:tab w:val="left" w:pos="709"/>
      </w:tabs>
      <w:spacing w:before="120"/>
    </w:pPr>
    <w:rPr>
      <w:lang w:eastAsia="ru-RU"/>
    </w:rPr>
  </w:style>
  <w:style w:type="table" w:styleId="a4">
    <w:name w:val="Table Grid"/>
    <w:basedOn w:val="a1"/>
    <w:uiPriority w:val="59"/>
    <w:rsid w:val="0085669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5669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85669F"/>
    <w:pPr>
      <w:ind w:left="708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856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5669F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EE8E0-FCCC-4CFE-8417-18D9405F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 Сергей Александрович</dc:creator>
  <cp:lastModifiedBy>Belov</cp:lastModifiedBy>
  <cp:revision>35</cp:revision>
  <dcterms:created xsi:type="dcterms:W3CDTF">2026-03-05T13:00:00Z</dcterms:created>
  <dcterms:modified xsi:type="dcterms:W3CDTF">2026-04-01T13:08:00Z</dcterms:modified>
</cp:coreProperties>
</file>