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130553285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CHAN) "Существенные изменения по ценной бумаге" ОБП, 002P-04, 4B02-04-36160-R-002P Общество с ограниченной ответственностью "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Сэтл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Групп"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84"/>
        <w:gridCol w:w="4149"/>
      </w:tblGrid>
      <w:tr w:rsidR="00987193" w:rsidRPr="007940F6" w:rsidTr="009506C1">
        <w:trPr>
          <w:tblHeader/>
          <w:tblCellSpacing w:w="7" w:type="dxa"/>
        </w:trPr>
        <w:tc>
          <w:tcPr>
            <w:tcW w:w="4987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506C1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9506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1220549</w:t>
            </w:r>
          </w:p>
        </w:tc>
      </w:tr>
      <w:tr w:rsidR="00987193" w:rsidRPr="007940F6" w:rsidTr="009506C1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CHAN</w:t>
            </w:r>
          </w:p>
        </w:tc>
      </w:tr>
      <w:tr w:rsidR="00987193" w:rsidRPr="007940F6" w:rsidTr="009506C1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Существенные изменения по ценной бумаге</w:t>
            </w:r>
          </w:p>
        </w:tc>
      </w:tr>
      <w:tr w:rsidR="00987193" w:rsidRPr="007940F6" w:rsidTr="009506C1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506C1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Описание типа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506C1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Установка процентной ставки по купонам</w:t>
            </w:r>
          </w:p>
        </w:tc>
      </w:tr>
    </w:tbl>
    <w:p w:rsidR="003D0354" w:rsidRPr="009506C1" w:rsidRDefault="003D0354"/>
    <w:tbl>
      <w:tblPr>
        <w:tblW w:w="10779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0"/>
        <w:gridCol w:w="1132"/>
        <w:gridCol w:w="1272"/>
        <w:gridCol w:w="1272"/>
        <w:gridCol w:w="1411"/>
        <w:gridCol w:w="708"/>
        <w:gridCol w:w="1414"/>
        <w:gridCol w:w="1285"/>
        <w:gridCol w:w="995"/>
      </w:tblGrid>
      <w:tr w:rsidR="00987193" w:rsidRPr="007940F6" w:rsidTr="00805A90">
        <w:trPr>
          <w:tblHeader/>
          <w:tblCellSpacing w:w="11" w:type="dxa"/>
        </w:trPr>
        <w:tc>
          <w:tcPr>
            <w:tcW w:w="10735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5A90">
        <w:tblPrEx>
          <w:tblCellSpacing w:w="7" w:type="dxa"/>
        </w:tblPrEx>
        <w:trPr>
          <w:tblHeader/>
          <w:tblCellSpacing w:w="7" w:type="dxa"/>
        </w:trPr>
        <w:tc>
          <w:tcPr>
            <w:tcW w:w="1257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10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50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50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389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86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392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63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62" w:type="dxa"/>
            <w:shd w:val="clear" w:color="auto" w:fill="BBBBBB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5A90">
        <w:tblPrEx>
          <w:tblCellSpacing w:w="7" w:type="dxa"/>
        </w:tblPrEx>
        <w:trPr>
          <w:tblCellSpacing w:w="7" w:type="dxa"/>
        </w:trPr>
        <w:tc>
          <w:tcPr>
            <w:tcW w:w="1257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Сэтл</w:t>
            </w:r>
            <w:proofErr w:type="spellEnd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Групп"</w:t>
            </w:r>
          </w:p>
        </w:tc>
        <w:tc>
          <w:tcPr>
            <w:tcW w:w="1110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4B02-04-36160-R-002P</w:t>
            </w:r>
          </w:p>
        </w:tc>
        <w:tc>
          <w:tcPr>
            <w:tcW w:w="1250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50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389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686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392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63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62" w:type="dxa"/>
            <w:shd w:val="clear" w:color="auto" w:fill="EEEEEE"/>
            <w:vAlign w:val="center"/>
            <w:hideMark/>
          </w:tcPr>
          <w:p w:rsidR="00806147" w:rsidRPr="00806147" w:rsidRDefault="00E50BD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506C1" w:rsidRDefault="009506C1">
      <w:pPr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9506C1" w:rsidRPr="009506C1" w:rsidRDefault="009506C1">
      <w:pPr>
        <w:rPr>
          <w:rFonts w:ascii="Times New Roman" w:hAnsi="Times New Roman" w:cs="Times New Roman"/>
          <w:sz w:val="20"/>
          <w:szCs w:val="20"/>
        </w:rPr>
      </w:pPr>
      <w:r w:rsidRPr="009506C1">
        <w:rPr>
          <w:rFonts w:ascii="Times New Roman" w:hAnsi="Times New Roman" w:cs="Times New Roman"/>
          <w:sz w:val="20"/>
          <w:szCs w:val="20"/>
          <w:shd w:val="clear" w:color="auto" w:fill="FFFFFF"/>
        </w:rPr>
        <w:t>20.10 Информация об определении размера процента (купона) по облигациям</w:t>
      </w:r>
    </w:p>
    <w:p w:rsidR="005467DE" w:rsidRDefault="00E50BD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9506C1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327250"/>
    <w:rsid w:val="003D01E0"/>
    <w:rsid w:val="003D0354"/>
    <w:rsid w:val="005467DE"/>
    <w:rsid w:val="00805A90"/>
    <w:rsid w:val="009506C1"/>
    <w:rsid w:val="00987193"/>
    <w:rsid w:val="0099344F"/>
    <w:rsid w:val="00E50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4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2026-09-21T07:40:00Z</dcterms:created>
  <dcterms:modified xsi:type="dcterms:W3CDTF">2026-09-21T11:50:00Z</dcterms:modified>
</cp:coreProperties>
</file>