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132310139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БО-001Р-09, 4B02-09-00207-A-001P Публичное акционерное общество "Акрон"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1048208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"Акрон"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4B02-09-00207-A-001P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2025-05-30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219B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914F05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14F05" w:rsidRDefault="007219B1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6.37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512.98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29.09.2026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914F0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14F05" w:rsidRDefault="007219B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7.75</w:t>
            </w:r>
          </w:p>
        </w:tc>
      </w:tr>
    </w:tbl>
    <w:p w:rsidR="00914F05" w:rsidRDefault="00914F05">
      <w:pPr>
        <w:rPr>
          <w:lang w:val="en-US"/>
        </w:rPr>
      </w:pPr>
    </w:p>
    <w:p w:rsidR="00914F05" w:rsidRDefault="00914F05">
      <w:pPr>
        <w:rPr>
          <w:lang w:val="en-US"/>
        </w:rPr>
      </w:pPr>
    </w:p>
    <w:p w:rsidR="00914F05" w:rsidRDefault="0072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документацией##http://www.nsd.ru/common/img/uploaded/files/news/cafiles/8d819f75f5e74cb6b71fd56fea180f8e</w:t>
      </w:r>
    </w:p>
    <w:p w:rsidR="00914F05" w:rsidRDefault="007219B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14.2 Информация о направлении денежных средств, подлежащих выплате владельцам об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лигаций при их погашении, частичном погашении и (или) выплате процентного (купонного) дохода по облигациям.</w:t>
      </w:r>
    </w:p>
    <w:p w:rsidR="00914F05" w:rsidRDefault="007219B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</w:t>
      </w:r>
      <w:r w:rsidRPr="00D23B2B">
        <w:rPr>
          <w:rFonts w:ascii="Times New Roman" w:hAnsi="Times New Roman"/>
          <w:sz w:val="20"/>
          <w:szCs w:val="20"/>
        </w:rPr>
        <w:t xml:space="preserve">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</w:t>
      </w:r>
      <w:r w:rsidRPr="00D23B2B">
        <w:rPr>
          <w:rFonts w:ascii="Times New Roman" w:hAnsi="Times New Roman"/>
          <w:sz w:val="20"/>
          <w:szCs w:val="20"/>
        </w:rPr>
        <w:t>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219B1"/>
    <w:rsid w:val="00914F05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2026-10-29T08:32:00Z</dcterms:created>
  <dcterms:modified xsi:type="dcterms:W3CDTF">2026-10-29T08:32:00Z</dcterms:modified>
</cp:coreProperties>
</file>