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 </w:t>
            </w:r>
            <w:r w:rsidRPr="002E55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130289055 </w:t>
            </w:r>
            <w:r w:rsidR="002E5586" w:rsidRPr="002E55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130330786</w:t>
            </w:r>
            <w:r w:rsidRPr="002E55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2E55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2E55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2E55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2E55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2E55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БО-001Р-08, 4B02-08-00207-A-001P Публичное акционерное общество "Акрон"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1031744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16.09.2026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16.09.2026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15.09.2026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1C7C5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1C7C5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1C7C5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1C7C5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1C7C5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1C7C5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1C7C5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1C7C5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1C7C5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1C7C5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"Акрон"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1C7C5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4B02-08-00207-A-001P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1C7C5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2025-04-16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1C7C5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1C7C5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RU000A10BGH8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1C7C5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RU000A10BGH8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1C7C5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1C7C5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1C7C5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USD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1D08FD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1D08FD" w:rsidRDefault="001C7C5F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1D08F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1D08FD" w:rsidRDefault="001C7C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D08FD" w:rsidRDefault="001C7C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RU000A10BGH8</w:t>
            </w:r>
          </w:p>
        </w:tc>
      </w:tr>
      <w:tr w:rsidR="001D08F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1D08FD" w:rsidRDefault="001C7C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D08FD" w:rsidRDefault="001C7C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017</w:t>
            </w:r>
          </w:p>
        </w:tc>
      </w:tr>
      <w:tr w:rsidR="001D08F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1D08FD" w:rsidRDefault="001C7C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USD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D08FD" w:rsidRDefault="001C7C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6.53</w:t>
            </w:r>
          </w:p>
        </w:tc>
      </w:tr>
      <w:tr w:rsidR="001D08F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1D08FD" w:rsidRDefault="001C7C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D08FD" w:rsidRDefault="001C7C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550.72</w:t>
            </w:r>
          </w:p>
        </w:tc>
      </w:tr>
      <w:tr w:rsidR="001D08F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1D08FD" w:rsidRDefault="001C7C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D08FD" w:rsidRDefault="001C7C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1D08F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1D08FD" w:rsidRDefault="001C7C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D08FD" w:rsidRDefault="001C7C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17.08.2026</w:t>
            </w:r>
          </w:p>
        </w:tc>
      </w:tr>
      <w:tr w:rsidR="001D08F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1D08FD" w:rsidRDefault="001C7C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D08FD" w:rsidRDefault="001C7C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16.09.2026</w:t>
            </w:r>
          </w:p>
        </w:tc>
      </w:tr>
      <w:tr w:rsidR="001D08F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1D08FD" w:rsidRDefault="001C7C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D08FD" w:rsidRDefault="001C7C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1D08F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1D08FD" w:rsidRDefault="001C7C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D08FD" w:rsidRDefault="001C7C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7.95</w:t>
            </w:r>
          </w:p>
        </w:tc>
      </w:tr>
    </w:tbl>
    <w:p w:rsidR="001D08FD" w:rsidRDefault="001D08FD">
      <w:pPr>
        <w:rPr>
          <w:lang w:val="en-US"/>
        </w:rPr>
      </w:pPr>
    </w:p>
    <w:p w:rsidR="001D08FD" w:rsidRDefault="001D08FD">
      <w:pPr>
        <w:rPr>
          <w:lang w:val="en-US"/>
        </w:rPr>
      </w:pPr>
    </w:p>
    <w:p w:rsidR="001D08FD" w:rsidRDefault="001C7C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sz w:val="20"/>
          <w:szCs w:val="20"/>
          <w:lang w:eastAsia="ru-RU"/>
        </w:rPr>
        <w:t>Приложение 1: Адрес в сети Интернет, по которому можно ознакомиться с дополнительной документацией##http://www.nsd.ru/common/img/uploaded/files/news/cafiles/d3231f85f08f4fec811e068504a8e8ee</w:t>
      </w:r>
    </w:p>
    <w:p w:rsidR="001D08FD" w:rsidRDefault="001C7C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sz w:val="20"/>
          <w:szCs w:val="20"/>
          <w:lang w:eastAsia="ru-RU"/>
        </w:rPr>
        <w:t>Пункт положения 751-П согласно которому осуществляется информирование: 20.10 Информация об определении размера процента (купона) по облигациям.</w:t>
      </w:r>
    </w:p>
    <w:p w:rsidR="001D08FD" w:rsidRDefault="001C7C5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1C7C5F"/>
    <w:rsid w:val="001D08FD"/>
    <w:rsid w:val="002E5586"/>
    <w:rsid w:val="00327250"/>
    <w:rsid w:val="003D0354"/>
    <w:rsid w:val="00753B2A"/>
    <w:rsid w:val="00987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1696</Characters>
  <Application>Microsoft Office Word</Application>
  <DocSecurity>0</DocSecurity>
  <Lines>14</Lines>
  <Paragraphs>3</Paragraphs>
  <ScaleCrop>false</ScaleCrop>
  <Company/>
  <LinksUpToDate>false</LinksUpToDate>
  <CharactersWithSpaces>1990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3</cp:revision>
  <dcterms:created xsi:type="dcterms:W3CDTF">2026-09-15T07:48:00Z</dcterms:created>
  <dcterms:modified xsi:type="dcterms:W3CDTF">2026-09-15T13:17:00Z</dcterms:modified>
</cp:coreProperties>
</file>